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306E8" w14:textId="00CDBD49" w:rsidR="00A83FAA" w:rsidRDefault="000F082E" w:rsidP="004F1697">
      <w:pPr>
        <w:jc w:val="center"/>
        <w:rPr>
          <w:b/>
        </w:rPr>
      </w:pPr>
      <w:r>
        <w:rPr>
          <w:b/>
        </w:rPr>
        <w:t>Santa Rita Jail Respiratory Virus Guidance</w:t>
      </w:r>
    </w:p>
    <w:p w14:paraId="3EACF8A4" w14:textId="042D519E" w:rsidR="009D675D" w:rsidRDefault="009D61AF" w:rsidP="004F1697">
      <w:pPr>
        <w:jc w:val="center"/>
      </w:pPr>
      <w:r w:rsidRPr="009D61AF">
        <w:rPr>
          <w:b/>
        </w:rPr>
        <w:t>July 16, 2024</w:t>
      </w:r>
    </w:p>
    <w:p w14:paraId="264CCE85" w14:textId="0D48BF24" w:rsidR="00241C97" w:rsidRDefault="000F082E" w:rsidP="000F082E">
      <w:r w:rsidRPr="4574B138">
        <w:rPr>
          <w:b/>
          <w:bCs/>
        </w:rPr>
        <w:t>Objective:</w:t>
      </w:r>
      <w:r>
        <w:t xml:space="preserve"> </w:t>
      </w:r>
      <w:r w:rsidR="163D71C1">
        <w:t>P</w:t>
      </w:r>
      <w:r>
        <w:t xml:space="preserve">ractical guidance available for the prevention, mitigation, and treatment of respiratory viruses </w:t>
      </w:r>
      <w:r w:rsidR="23F8ED3F">
        <w:t>in order to</w:t>
      </w:r>
      <w:r>
        <w:t xml:space="preserve"> lower the risk of </w:t>
      </w:r>
      <w:r w:rsidR="3623F918">
        <w:t>poor</w:t>
      </w:r>
      <w:r>
        <w:t xml:space="preserve"> outcomes </w:t>
      </w:r>
      <w:r w:rsidR="25D03372">
        <w:t>in the correctional setting</w:t>
      </w:r>
      <w:r>
        <w:t>. This document is intended to be broadly encompassing and adaptable to allow for best process implementation including seasonal viruses</w:t>
      </w:r>
      <w:r w:rsidR="00BF2FF2">
        <w:t xml:space="preserve"> (i.e. </w:t>
      </w:r>
      <w:r w:rsidR="059112D8">
        <w:t>in</w:t>
      </w:r>
      <w:r w:rsidR="00BF2FF2">
        <w:t>flu</w:t>
      </w:r>
      <w:r w:rsidR="0A9871E9">
        <w:t>enza</w:t>
      </w:r>
      <w:r w:rsidR="00BF2FF2">
        <w:t>, RSV)</w:t>
      </w:r>
      <w:r>
        <w:t xml:space="preserve"> and addressing periods of outbreaks for viruses that may affect the population throughout the year</w:t>
      </w:r>
      <w:r w:rsidR="00BF2FF2">
        <w:t xml:space="preserve"> (i.e. COVID-19)</w:t>
      </w:r>
      <w:r>
        <w:t>.</w:t>
      </w:r>
      <w:r w:rsidR="000F1BBC">
        <w:t xml:space="preserve"> The key aspect to an effective mitigation plan is it offers flexibility and adaptability that is guided by evidence</w:t>
      </w:r>
      <w:r w:rsidR="00C666BB">
        <w:t>,</w:t>
      </w:r>
      <w:r w:rsidR="000C14D7">
        <w:t xml:space="preserve"> and therefore this document is consider</w:t>
      </w:r>
      <w:r w:rsidR="1739213F">
        <w:t>ed</w:t>
      </w:r>
      <w:r w:rsidR="000C14D7">
        <w:t xml:space="preserve"> fluid and may be updated based on changing guidelines by CDC</w:t>
      </w:r>
      <w:r w:rsidR="00657738">
        <w:t>, CDPH</w:t>
      </w:r>
      <w:r w:rsidR="000C14D7">
        <w:t xml:space="preserve"> and the Alameda County Public Health Department</w:t>
      </w:r>
      <w:r w:rsidR="142E4FC2">
        <w:t xml:space="preserve"> (ACPHD)</w:t>
      </w:r>
      <w:r w:rsidR="000C14D7">
        <w:t xml:space="preserve">. </w:t>
      </w:r>
      <w:r w:rsidR="000F1BBC">
        <w:t xml:space="preserve"> </w:t>
      </w:r>
    </w:p>
    <w:p w14:paraId="78540E94" w14:textId="740A0087" w:rsidR="00F022D4" w:rsidRDefault="00F022D4" w:rsidP="00F022D4">
      <w:pPr>
        <w:jc w:val="center"/>
        <w:rPr>
          <w:b/>
          <w:bCs/>
        </w:rPr>
      </w:pPr>
      <w:r w:rsidRPr="00F022D4">
        <w:rPr>
          <w:b/>
          <w:bCs/>
        </w:rPr>
        <w:t>Reporting Guidelines</w:t>
      </w:r>
    </w:p>
    <w:p w14:paraId="40138F31" w14:textId="3AC07A38" w:rsidR="005D7C6B" w:rsidRPr="000148DF" w:rsidRDefault="005D7C6B" w:rsidP="005D7C6B">
      <w:pPr>
        <w:rPr>
          <w:i/>
        </w:rPr>
      </w:pPr>
      <w:r w:rsidRPr="0ACB9ACA">
        <w:rPr>
          <w:b/>
          <w:bCs/>
        </w:rPr>
        <w:t xml:space="preserve">COVID-19: </w:t>
      </w:r>
      <w:r w:rsidRPr="000148DF">
        <w:rPr>
          <w:i/>
        </w:rPr>
        <w:t xml:space="preserve">Any </w:t>
      </w:r>
      <w:r w:rsidR="00FA17BA" w:rsidRPr="000148DF">
        <w:rPr>
          <w:i/>
        </w:rPr>
        <w:t xml:space="preserve">positive </w:t>
      </w:r>
      <w:r w:rsidRPr="000148DF">
        <w:rPr>
          <w:i/>
        </w:rPr>
        <w:t>resident or staff</w:t>
      </w:r>
      <w:r w:rsidR="00FA17BA" w:rsidRPr="000148DF">
        <w:rPr>
          <w:i/>
        </w:rPr>
        <w:t xml:space="preserve"> case should be reported to ACPHD via SPOT</w:t>
      </w:r>
      <w:r w:rsidR="5C8ACD23" w:rsidRPr="60637258">
        <w:rPr>
          <w:i/>
          <w:iCs/>
        </w:rPr>
        <w:t xml:space="preserve"> within 24 hours</w:t>
      </w:r>
      <w:r w:rsidR="00FA17BA" w:rsidRPr="000148DF">
        <w:rPr>
          <w:i/>
        </w:rPr>
        <w:t>.</w:t>
      </w:r>
    </w:p>
    <w:p w14:paraId="4295340F" w14:textId="53AED0BC" w:rsidR="0094716D" w:rsidRPr="00FA17BA" w:rsidRDefault="00FA17BA" w:rsidP="005D7C6B">
      <w:r w:rsidRPr="4574B138">
        <w:rPr>
          <w:b/>
          <w:bCs/>
        </w:rPr>
        <w:t xml:space="preserve">Influenza: </w:t>
      </w:r>
      <w:r>
        <w:t xml:space="preserve">Any positive resident or staff case should be reported via CMR </w:t>
      </w:r>
      <w:r w:rsidR="20F99EBA">
        <w:t>to</w:t>
      </w:r>
      <w:r w:rsidR="0094716D">
        <w:t xml:space="preserve"> </w:t>
      </w:r>
      <w:hyperlink r:id="rId8">
        <w:r w:rsidR="00323EAC" w:rsidRPr="4574B138">
          <w:rPr>
            <w:rStyle w:val="Hyperlink"/>
          </w:rPr>
          <w:t>acutecd@acgov.org</w:t>
        </w:r>
        <w:r w:rsidR="06231F25" w:rsidRPr="4574B138">
          <w:rPr>
            <w:rStyle w:val="Hyperlink"/>
          </w:rPr>
          <w:t>.</w:t>
        </w:r>
      </w:hyperlink>
    </w:p>
    <w:p w14:paraId="45E9DD51" w14:textId="6F4FD019" w:rsidR="00F022D4" w:rsidRPr="00F022D4" w:rsidRDefault="00F022D4" w:rsidP="00F022D4">
      <w:pPr>
        <w:jc w:val="center"/>
        <w:rPr>
          <w:b/>
          <w:bCs/>
        </w:rPr>
      </w:pPr>
      <w:r w:rsidRPr="4574B138">
        <w:rPr>
          <w:b/>
          <w:bCs/>
        </w:rPr>
        <w:t>Outbreak Definitions</w:t>
      </w:r>
    </w:p>
    <w:p w14:paraId="458BDEBF" w14:textId="4DC75CA3" w:rsidR="7D3BC001" w:rsidRDefault="7D3BC001" w:rsidP="4574B138">
      <w:pPr>
        <w:rPr>
          <w:rFonts w:eastAsiaTheme="minorEastAsia"/>
          <w:lang w:val="en"/>
        </w:rPr>
      </w:pPr>
      <w:r w:rsidRPr="4574B138">
        <w:rPr>
          <w:rFonts w:eastAsiaTheme="minorEastAsia"/>
          <w:b/>
          <w:bCs/>
        </w:rPr>
        <w:t xml:space="preserve">Close contact: </w:t>
      </w:r>
      <w:r w:rsidRPr="4574B138">
        <w:rPr>
          <w:rFonts w:eastAsiaTheme="minorEastAsia"/>
          <w:lang w:val="en"/>
        </w:rPr>
        <w:t>Practically, close contact could be defined as anyone who was a cellmate or who had recreation or pod time within 6 feet of the confirmed case, or all individuals in an associated side of a dormitory style housing unit.</w:t>
      </w:r>
    </w:p>
    <w:p w14:paraId="56FCD233" w14:textId="36DA10DE" w:rsidR="00C14F1B" w:rsidRPr="00C14F1B" w:rsidRDefault="00C14F1B" w:rsidP="4574B138">
      <w:pPr>
        <w:rPr>
          <w:rFonts w:eastAsiaTheme="minorEastAsia"/>
        </w:rPr>
      </w:pPr>
      <w:r w:rsidRPr="4574B138">
        <w:rPr>
          <w:rFonts w:eastAsiaTheme="minorEastAsia"/>
          <w:b/>
          <w:bCs/>
        </w:rPr>
        <w:t xml:space="preserve">COVID-19: </w:t>
      </w:r>
      <w:r w:rsidR="00265985" w:rsidRPr="4574B138">
        <w:rPr>
          <w:rFonts w:eastAsiaTheme="minorEastAsia"/>
        </w:rPr>
        <w:t>≥3 cases in residents or staff in 7-day period</w:t>
      </w:r>
      <w:r w:rsidR="006B1FBF" w:rsidRPr="4574B138">
        <w:rPr>
          <w:rFonts w:eastAsiaTheme="minorEastAsia"/>
        </w:rPr>
        <w:t xml:space="preserve"> that are epi-linked. </w:t>
      </w:r>
      <w:r w:rsidR="000C2E67" w:rsidRPr="4574B138">
        <w:rPr>
          <w:rFonts w:eastAsiaTheme="minorEastAsia"/>
        </w:rPr>
        <w:t>Epi-linke</w:t>
      </w:r>
      <w:r w:rsidR="080550F9" w:rsidRPr="4574B138">
        <w:rPr>
          <w:rFonts w:eastAsiaTheme="minorEastAsia"/>
        </w:rPr>
        <w:t xml:space="preserve">d means that the cases </w:t>
      </w:r>
      <w:r w:rsidR="6C4EF2E2" w:rsidRPr="4574B138">
        <w:rPr>
          <w:rFonts w:eastAsiaTheme="minorEastAsia"/>
        </w:rPr>
        <w:t>had close contact with each other</w:t>
      </w:r>
      <w:r w:rsidR="78B4FE44" w:rsidRPr="4574B138">
        <w:rPr>
          <w:rFonts w:eastAsiaTheme="minorEastAsia"/>
        </w:rPr>
        <w:t>.</w:t>
      </w:r>
    </w:p>
    <w:p w14:paraId="5539C38D" w14:textId="0F3777C5" w:rsidR="00C14F1B" w:rsidRPr="00C14F1B" w:rsidRDefault="00C14F1B" w:rsidP="4574B138">
      <w:pPr>
        <w:rPr>
          <w:rFonts w:eastAsiaTheme="minorEastAsia"/>
        </w:rPr>
      </w:pPr>
      <w:r w:rsidRPr="4574B138">
        <w:rPr>
          <w:rFonts w:eastAsiaTheme="minorEastAsia"/>
          <w:b/>
          <w:bCs/>
        </w:rPr>
        <w:t>Influenza:</w:t>
      </w:r>
      <w:r w:rsidR="1762B39F" w:rsidRPr="4574B138">
        <w:rPr>
          <w:rFonts w:eastAsiaTheme="minorEastAsia"/>
          <w:b/>
          <w:bCs/>
        </w:rPr>
        <w:t xml:space="preserve"> </w:t>
      </w:r>
      <w:r w:rsidR="3F0F7E11" w:rsidRPr="4574B138">
        <w:rPr>
          <w:rFonts w:eastAsiaTheme="minorEastAsia"/>
        </w:rPr>
        <w:t xml:space="preserve">≥1 case of laboratory-confirmed influenza in the setting of a cluster (≥2 cases) of influenza-like illness </w:t>
      </w:r>
      <w:r w:rsidR="1B7EAEC9" w:rsidRPr="4574B138">
        <w:rPr>
          <w:rFonts w:eastAsiaTheme="minorEastAsia"/>
        </w:rPr>
        <w:t>(i.e. fever plus cough and/or sore throat, in the absence of a known cause other than influenza)</w:t>
      </w:r>
      <w:r w:rsidR="3F0F7E11" w:rsidRPr="4574B138">
        <w:rPr>
          <w:rFonts w:eastAsiaTheme="minorEastAsia"/>
        </w:rPr>
        <w:t xml:space="preserve"> within a 72-hour period.</w:t>
      </w:r>
    </w:p>
    <w:p w14:paraId="2DE78E91" w14:textId="689C56F0" w:rsidR="0ADA82C5" w:rsidRPr="000148DF" w:rsidRDefault="0ADA82C5" w:rsidP="60637258">
      <w:pPr>
        <w:jc w:val="center"/>
        <w:rPr>
          <w:rFonts w:eastAsiaTheme="minorEastAsia"/>
          <w:b/>
          <w:bCs/>
        </w:rPr>
      </w:pPr>
      <w:r w:rsidRPr="000148DF">
        <w:rPr>
          <w:rFonts w:eastAsiaTheme="minorEastAsia"/>
          <w:b/>
          <w:bCs/>
        </w:rPr>
        <w:t>Outbreak Communication</w:t>
      </w:r>
    </w:p>
    <w:p w14:paraId="561D0152" w14:textId="55A83AB1" w:rsidR="1FC79FD6" w:rsidRPr="000148DF" w:rsidRDefault="1FC79FD6" w:rsidP="60637258">
      <w:pPr>
        <w:rPr>
          <w:rFonts w:eastAsiaTheme="minorEastAsia"/>
        </w:rPr>
      </w:pPr>
      <w:r w:rsidRPr="000148DF">
        <w:rPr>
          <w:rFonts w:eastAsiaTheme="minorEastAsia"/>
        </w:rPr>
        <w:t xml:space="preserve">During an outbreak of any communicable disease, ACPHD </w:t>
      </w:r>
      <w:r w:rsidR="46FED47F" w:rsidRPr="000148DF">
        <w:rPr>
          <w:rFonts w:eastAsiaTheme="minorEastAsia"/>
        </w:rPr>
        <w:t>will</w:t>
      </w:r>
      <w:r w:rsidRPr="000148DF">
        <w:rPr>
          <w:rFonts w:eastAsiaTheme="minorEastAsia"/>
        </w:rPr>
        <w:t xml:space="preserve"> request more frequent communication, via additional calls and emails. </w:t>
      </w:r>
      <w:r w:rsidR="4876AD9B" w:rsidRPr="000148DF">
        <w:rPr>
          <w:rFonts w:eastAsiaTheme="minorEastAsia"/>
        </w:rPr>
        <w:t>When conducting response testing du</w:t>
      </w:r>
      <w:r w:rsidR="265A3311" w:rsidRPr="000148DF">
        <w:rPr>
          <w:rFonts w:eastAsiaTheme="minorEastAsia"/>
        </w:rPr>
        <w:t>r</w:t>
      </w:r>
      <w:r w:rsidR="4876AD9B" w:rsidRPr="000148DF">
        <w:rPr>
          <w:rFonts w:eastAsiaTheme="minorEastAsia"/>
        </w:rPr>
        <w:t>ing an outbreak, please report the foll</w:t>
      </w:r>
      <w:r w:rsidR="2A0BF95C" w:rsidRPr="000148DF">
        <w:rPr>
          <w:rFonts w:eastAsiaTheme="minorEastAsia"/>
        </w:rPr>
        <w:t>owing information to ACPHD</w:t>
      </w:r>
      <w:r w:rsidR="1F4DCC59" w:rsidRPr="000148DF">
        <w:rPr>
          <w:rFonts w:eastAsiaTheme="minorEastAsia"/>
        </w:rPr>
        <w:t xml:space="preserve"> within 24 hours, </w:t>
      </w:r>
      <w:r w:rsidR="1F4DCC59" w:rsidRPr="000148DF">
        <w:rPr>
          <w:rFonts w:eastAsiaTheme="minorEastAsia"/>
          <w:i/>
          <w:iCs/>
        </w:rPr>
        <w:t>even if no positive cases are identified</w:t>
      </w:r>
      <w:r w:rsidR="1F4DCC59" w:rsidRPr="000148DF">
        <w:rPr>
          <w:rFonts w:eastAsiaTheme="minorEastAsia"/>
        </w:rPr>
        <w:t>:</w:t>
      </w:r>
    </w:p>
    <w:p w14:paraId="4EAF88BB" w14:textId="3C8123D3" w:rsidR="62313FD9" w:rsidRPr="000148DF" w:rsidRDefault="62313FD9" w:rsidP="60637258">
      <w:pPr>
        <w:pStyle w:val="ListParagraph"/>
        <w:numPr>
          <w:ilvl w:val="0"/>
          <w:numId w:val="9"/>
        </w:numPr>
        <w:rPr>
          <w:rFonts w:eastAsiaTheme="minorEastAsia"/>
        </w:rPr>
      </w:pPr>
      <w:r w:rsidRPr="000148DF">
        <w:rPr>
          <w:rFonts w:eastAsiaTheme="minorEastAsia"/>
        </w:rPr>
        <w:t>Date of testing</w:t>
      </w:r>
    </w:p>
    <w:p w14:paraId="006A2645" w14:textId="30E407F6" w:rsidR="1F4DCC59" w:rsidRPr="000148DF" w:rsidRDefault="1F4DCC59" w:rsidP="60637258">
      <w:pPr>
        <w:pStyle w:val="ListParagraph"/>
        <w:numPr>
          <w:ilvl w:val="0"/>
          <w:numId w:val="9"/>
        </w:numPr>
        <w:rPr>
          <w:rFonts w:eastAsiaTheme="minorEastAsia"/>
        </w:rPr>
      </w:pPr>
      <w:r w:rsidRPr="000148DF">
        <w:rPr>
          <w:rFonts w:eastAsiaTheme="minorEastAsia"/>
        </w:rPr>
        <w:t xml:space="preserve">Number of residents </w:t>
      </w:r>
      <w:r w:rsidRPr="000148DF">
        <w:rPr>
          <w:rFonts w:eastAsiaTheme="minorEastAsia"/>
          <w:i/>
          <w:iCs/>
        </w:rPr>
        <w:t>offered</w:t>
      </w:r>
      <w:r w:rsidRPr="000148DF">
        <w:rPr>
          <w:rFonts w:eastAsiaTheme="minorEastAsia"/>
        </w:rPr>
        <w:t xml:space="preserve"> testing</w:t>
      </w:r>
    </w:p>
    <w:p w14:paraId="27967485" w14:textId="11F079DE" w:rsidR="1F4DCC59" w:rsidRPr="000148DF" w:rsidRDefault="1F4DCC59" w:rsidP="60637258">
      <w:pPr>
        <w:pStyle w:val="ListParagraph"/>
        <w:numPr>
          <w:ilvl w:val="0"/>
          <w:numId w:val="9"/>
        </w:numPr>
        <w:rPr>
          <w:rFonts w:eastAsiaTheme="minorEastAsia"/>
        </w:rPr>
      </w:pPr>
      <w:r w:rsidRPr="000148DF">
        <w:rPr>
          <w:rFonts w:eastAsiaTheme="minorEastAsia"/>
        </w:rPr>
        <w:t>Number of residents</w:t>
      </w:r>
      <w:r w:rsidRPr="000148DF">
        <w:rPr>
          <w:rFonts w:eastAsiaTheme="minorEastAsia"/>
          <w:i/>
          <w:iCs/>
        </w:rPr>
        <w:t xml:space="preserve"> tested</w:t>
      </w:r>
    </w:p>
    <w:p w14:paraId="55AE7446" w14:textId="6987F082" w:rsidR="7831CC01" w:rsidRPr="000148DF" w:rsidRDefault="7831CC01" w:rsidP="60637258">
      <w:pPr>
        <w:pStyle w:val="ListParagraph"/>
        <w:numPr>
          <w:ilvl w:val="0"/>
          <w:numId w:val="9"/>
        </w:numPr>
        <w:rPr>
          <w:rFonts w:eastAsiaTheme="minorEastAsia"/>
        </w:rPr>
      </w:pPr>
      <w:r w:rsidRPr="000148DF">
        <w:rPr>
          <w:rFonts w:eastAsiaTheme="minorEastAsia"/>
        </w:rPr>
        <w:t>Planned date of next round of testing</w:t>
      </w:r>
    </w:p>
    <w:p w14:paraId="49C1F0B7" w14:textId="77777777" w:rsidR="000F082E" w:rsidRDefault="00241C97" w:rsidP="000F1BBC">
      <w:pPr>
        <w:jc w:val="center"/>
      </w:pPr>
      <w:r>
        <w:rPr>
          <w:b/>
        </w:rPr>
        <w:t>Prevention</w:t>
      </w:r>
    </w:p>
    <w:p w14:paraId="303C76C5" w14:textId="77777777" w:rsidR="000F1BBC" w:rsidRDefault="000F1BBC" w:rsidP="00C445BC">
      <w:pPr>
        <w:rPr>
          <w:b/>
        </w:rPr>
      </w:pPr>
      <w:r>
        <w:rPr>
          <w:b/>
        </w:rPr>
        <w:t xml:space="preserve">Environmental Control </w:t>
      </w:r>
    </w:p>
    <w:p w14:paraId="1AA538B0" w14:textId="60A99C21" w:rsidR="000F1BBC" w:rsidRDefault="000F1BBC" w:rsidP="000F1BBC">
      <w:r w:rsidRPr="0ACB9ACA">
        <w:rPr>
          <w:b/>
          <w:bCs/>
        </w:rPr>
        <w:t xml:space="preserve">Ventilation: </w:t>
      </w:r>
      <w:r>
        <w:t>Ensuring areas are well</w:t>
      </w:r>
      <w:r w:rsidR="000148DF">
        <w:t>-</w:t>
      </w:r>
      <w:r>
        <w:t xml:space="preserve">ventilated and include access to good air circulation is an important aspect of the environmental control of respiratory viruses. Staff working in enclosed areas should have access to masks </w:t>
      </w:r>
      <w:r w:rsidR="17F02357">
        <w:t>th</w:t>
      </w:r>
      <w:r w:rsidR="038085C3">
        <w:t>r</w:t>
      </w:r>
      <w:r w:rsidR="17F02357">
        <w:t>oughout the year</w:t>
      </w:r>
      <w:r>
        <w:t>.</w:t>
      </w:r>
    </w:p>
    <w:p w14:paraId="4F7C789A" w14:textId="77777777" w:rsidR="00C445BC" w:rsidRPr="0010483E" w:rsidRDefault="000F1BBC" w:rsidP="00C445BC">
      <w:pPr>
        <w:spacing w:before="240" w:after="240"/>
      </w:pPr>
      <w:r>
        <w:rPr>
          <w:b/>
        </w:rPr>
        <w:lastRenderedPageBreak/>
        <w:t>Disinfection:</w:t>
      </w:r>
      <w:r>
        <w:t xml:space="preserve"> </w:t>
      </w:r>
      <w:r w:rsidR="00C445BC" w:rsidRPr="0010483E">
        <w:t xml:space="preserve">High-touch surfaces in common areas (both inmate and staff areas) should be wiped with antiseptic wipes several times each day. Staff should </w:t>
      </w:r>
      <w:r w:rsidR="00C445BC">
        <w:t xml:space="preserve">be encouraged to </w:t>
      </w:r>
      <w:r w:rsidR="00C445BC" w:rsidRPr="0010483E">
        <w:t xml:space="preserve">clean shared equipment (radios, keys, blood pressure cuffs, etc.) several times per day and at the end of each shift. </w:t>
      </w:r>
    </w:p>
    <w:p w14:paraId="752B7C6A" w14:textId="77777777" w:rsidR="00C445BC" w:rsidRPr="0010483E" w:rsidRDefault="00C445BC" w:rsidP="00C445BC">
      <w:pPr>
        <w:spacing w:before="240" w:after="240"/>
      </w:pPr>
      <w:r w:rsidRPr="0010483E">
        <w:t xml:space="preserve">Soap or hand disinfectant should be made available to all inmates, and proper hand hygiene should be </w:t>
      </w:r>
      <w:r>
        <w:t>encouraged</w:t>
      </w:r>
      <w:r w:rsidRPr="0010483E">
        <w:t xml:space="preserve">. </w:t>
      </w:r>
    </w:p>
    <w:p w14:paraId="2050F1DC" w14:textId="6023AC06" w:rsidR="000C14D7" w:rsidRPr="000C14D7" w:rsidRDefault="000C14D7" w:rsidP="000F1BBC">
      <w:r w:rsidRPr="4574B138">
        <w:rPr>
          <w:b/>
          <w:bCs/>
        </w:rPr>
        <w:t>Intake and Facility Screening:</w:t>
      </w:r>
      <w:r>
        <w:t xml:space="preserve"> All patients </w:t>
      </w:r>
      <w:r w:rsidR="00EB2A49">
        <w:t>who</w:t>
      </w:r>
      <w:r>
        <w:t xml:space="preserve"> present in the intake process with</w:t>
      </w:r>
      <w:r w:rsidR="00B3554E">
        <w:t xml:space="preserve"> </w:t>
      </w:r>
      <w:r w:rsidR="412B3DCA" w:rsidRPr="4574B138">
        <w:rPr>
          <w:b/>
          <w:bCs/>
        </w:rPr>
        <w:t>any</w:t>
      </w:r>
      <w:r w:rsidR="008D69B0" w:rsidRPr="4574B138">
        <w:rPr>
          <w:b/>
          <w:bCs/>
        </w:rPr>
        <w:t xml:space="preserve"> </w:t>
      </w:r>
      <w:r w:rsidR="008D69B0">
        <w:t>symptom consistent with</w:t>
      </w:r>
      <w:r>
        <w:t xml:space="preserve"> </w:t>
      </w:r>
      <w:r w:rsidR="00A75CE8">
        <w:t xml:space="preserve">respiratory </w:t>
      </w:r>
      <w:r w:rsidR="00191BB5">
        <w:t>illness (e.g.</w:t>
      </w:r>
      <w:r w:rsidR="00ED7CD9">
        <w:t xml:space="preserve"> fever or chills, cough, shortness of breath or difficulty breathing, fatigue, muscle or body aches, headache, or smell, sore throat, congestion or runny nose, nausea or vomiting, and diarrhea</w:t>
      </w:r>
      <w:r w:rsidR="00AA4203">
        <w:t>), should</w:t>
      </w:r>
      <w:r>
        <w:t xml:space="preserve"> be </w:t>
      </w:r>
      <w:r w:rsidR="00B1078C">
        <w:t xml:space="preserve">offered </w:t>
      </w:r>
      <w:r w:rsidR="00A1694A">
        <w:t xml:space="preserve">available rapid </w:t>
      </w:r>
      <w:r w:rsidR="52D946D7">
        <w:t xml:space="preserve">antigen </w:t>
      </w:r>
      <w:r>
        <w:t>testing</w:t>
      </w:r>
      <w:r w:rsidR="00707448">
        <w:t xml:space="preserve"> (e.g. COVID-only, COVID + </w:t>
      </w:r>
      <w:r w:rsidR="1579352F">
        <w:t>in</w:t>
      </w:r>
      <w:r w:rsidR="00707448">
        <w:t>flu</w:t>
      </w:r>
      <w:r w:rsidR="5D4D2192">
        <w:t>enza</w:t>
      </w:r>
      <w:r w:rsidR="00707448">
        <w:t xml:space="preserve">, </w:t>
      </w:r>
      <w:r w:rsidR="00CD16CA">
        <w:t>etc.</w:t>
      </w:r>
      <w:r w:rsidR="00707448">
        <w:t xml:space="preserve">) </w:t>
      </w:r>
      <w:r>
        <w:t xml:space="preserve">and consequent medical isolation in positive cases. All patients </w:t>
      </w:r>
      <w:r w:rsidR="00E073CE">
        <w:t>who</w:t>
      </w:r>
      <w:r w:rsidR="4A042E8B">
        <w:t xml:space="preserve"> </w:t>
      </w:r>
      <w:r>
        <w:t>become symptomatic during their incarceration should be rapidly triaged and offered testing</w:t>
      </w:r>
      <w:r w:rsidR="002874EE">
        <w:t xml:space="preserve"> as above </w:t>
      </w:r>
      <w:r>
        <w:t xml:space="preserve">to allow for timely medical isolation </w:t>
      </w:r>
      <w:r w:rsidR="253239BA">
        <w:t>to help mitigate further cases of infection</w:t>
      </w:r>
      <w:r>
        <w:t>.</w:t>
      </w:r>
    </w:p>
    <w:p w14:paraId="5C5B486E" w14:textId="77777777" w:rsidR="000F1BBC" w:rsidRDefault="000C14D7" w:rsidP="00C445BC">
      <w:r>
        <w:rPr>
          <w:b/>
        </w:rPr>
        <w:t>Continual Vaccination Efforts</w:t>
      </w:r>
    </w:p>
    <w:p w14:paraId="34F6970D" w14:textId="308AD832" w:rsidR="00C445BC" w:rsidRDefault="00C445BC" w:rsidP="000F1BBC">
      <w:r w:rsidRPr="4574B138">
        <w:rPr>
          <w:b/>
          <w:bCs/>
        </w:rPr>
        <w:t xml:space="preserve">Health Education for Vaccinations: </w:t>
      </w:r>
      <w:r>
        <w:t>Educational material will be available to the incarcerated population that will provide them information about common respiratory viruses such as C</w:t>
      </w:r>
      <w:r w:rsidR="00BF2FF2">
        <w:t>OVID</w:t>
      </w:r>
      <w:r>
        <w:t xml:space="preserve">-19, </w:t>
      </w:r>
      <w:r w:rsidR="77A27951">
        <w:t>i</w:t>
      </w:r>
      <w:r>
        <w:t xml:space="preserve">nfluenza and RSV. Specific education shall be provided in ITR that addresses how to request a vaccine while in custody. Staff offering vaccines will also address vaccine hesitancy and provide ways for the patient to access healthcare staff </w:t>
      </w:r>
      <w:r w:rsidR="00614411">
        <w:t>for question</w:t>
      </w:r>
      <w:r w:rsidR="274CC20B">
        <w:t>s</w:t>
      </w:r>
      <w:r w:rsidR="00614411">
        <w:t xml:space="preserve"> </w:t>
      </w:r>
      <w:r>
        <w:t>regarding vaccinations</w:t>
      </w:r>
      <w:r w:rsidR="00614411">
        <w:t>.</w:t>
      </w:r>
    </w:p>
    <w:p w14:paraId="730DA78F" w14:textId="08A19A4F" w:rsidR="00177E40" w:rsidRDefault="000C14D7" w:rsidP="000F1BBC">
      <w:r w:rsidRPr="0ACB9ACA">
        <w:rPr>
          <w:b/>
          <w:bCs/>
        </w:rPr>
        <w:t xml:space="preserve">Vaccination Availability: </w:t>
      </w:r>
      <w:r w:rsidR="00177E40">
        <w:t xml:space="preserve">Vaccines for </w:t>
      </w:r>
      <w:r w:rsidR="19CBCC67">
        <w:t>COVID-19</w:t>
      </w:r>
      <w:r w:rsidR="3C29EF3A">
        <w:t>,</w:t>
      </w:r>
      <w:r w:rsidR="003F0CD9">
        <w:t xml:space="preserve"> </w:t>
      </w:r>
      <w:r w:rsidR="19CBCC67">
        <w:t>influenza</w:t>
      </w:r>
      <w:r w:rsidR="16F6AF83">
        <w:t xml:space="preserve"> and RSV (for </w:t>
      </w:r>
      <w:r w:rsidR="128E4337">
        <w:t xml:space="preserve">some </w:t>
      </w:r>
      <w:r w:rsidR="16F6AF83">
        <w:t>persons 65 years and older)</w:t>
      </w:r>
      <w:r w:rsidR="19CBCC67">
        <w:t xml:space="preserve"> </w:t>
      </w:r>
      <w:r w:rsidR="00177E40">
        <w:t>should be a</w:t>
      </w:r>
      <w:r w:rsidR="49EB5457">
        <w:t>vailable and recommended</w:t>
      </w:r>
      <w:r w:rsidR="00177E40">
        <w:t xml:space="preserve"> to the incarcerated populations </w:t>
      </w:r>
      <w:r w:rsidR="1EAADD6E">
        <w:t>based on</w:t>
      </w:r>
      <w:r w:rsidR="00177E40">
        <w:t xml:space="preserve"> current CDC</w:t>
      </w:r>
      <w:r w:rsidR="334D3D2E">
        <w:t xml:space="preserve"> guidelines.</w:t>
      </w:r>
      <w:r w:rsidR="00177E40">
        <w:t xml:space="preserve"> </w:t>
      </w:r>
      <w:r w:rsidR="52E58D33">
        <w:t>The priority</w:t>
      </w:r>
      <w:r w:rsidR="00177E40">
        <w:t xml:space="preserve"> population</w:t>
      </w:r>
      <w:r w:rsidR="782F45CF">
        <w:t>s</w:t>
      </w:r>
      <w:r w:rsidR="00177E40">
        <w:t xml:space="preserve"> for delivery should be th</w:t>
      </w:r>
      <w:r w:rsidR="5350FA11">
        <w:t>ose</w:t>
      </w:r>
      <w:r w:rsidR="00177E40">
        <w:t xml:space="preserve"> most vulnerable to </w:t>
      </w:r>
      <w:r w:rsidR="00C2254C">
        <w:t>severe</w:t>
      </w:r>
      <w:r w:rsidR="00177E40">
        <w:t xml:space="preserve"> outcomes from an infection.</w:t>
      </w:r>
    </w:p>
    <w:p w14:paraId="025E3FC4" w14:textId="39EC8D80" w:rsidR="2A6A1C98" w:rsidRDefault="2A6A1C98">
      <w:r>
        <w:t>County employees and all contracted staff will be encouraged to get annual COVID-19 and flu vaccines.</w:t>
      </w:r>
    </w:p>
    <w:p w14:paraId="3AA98D8F" w14:textId="06545AB8" w:rsidR="00606A09" w:rsidRPr="00606A09" w:rsidRDefault="00606A09" w:rsidP="000F1BBC">
      <w:r w:rsidRPr="0ACB9ACA">
        <w:rPr>
          <w:b/>
          <w:bCs/>
        </w:rPr>
        <w:t xml:space="preserve">Education and Prioritization for Vulnerable Population: </w:t>
      </w:r>
      <w:r>
        <w:t xml:space="preserve">Vulnerable populations are specifically targeted for education during both the ITR screening when the Orange Medical Alert is provided, and during provider encounters throughout the incarcerated person’s stay. Providers should seek to meet community guidelines for providing education to vulnerable populations during their encounters. </w:t>
      </w:r>
    </w:p>
    <w:p w14:paraId="6DE210FB" w14:textId="77777777" w:rsidR="00157FA1" w:rsidRDefault="00C445BC" w:rsidP="00157FA1">
      <w:pPr>
        <w:rPr>
          <w:b/>
        </w:rPr>
      </w:pPr>
      <w:r>
        <w:rPr>
          <w:b/>
        </w:rPr>
        <w:t>Masking and PPE</w:t>
      </w:r>
    </w:p>
    <w:p w14:paraId="14B26D17" w14:textId="6690E1D3" w:rsidR="00C445BC" w:rsidRPr="0010483E" w:rsidRDefault="00C445BC" w:rsidP="00157FA1">
      <w:pPr>
        <w:rPr>
          <w:color w:val="202020"/>
          <w:highlight w:val="white"/>
        </w:rPr>
      </w:pPr>
      <w:r w:rsidRPr="0ACB9ACA">
        <w:rPr>
          <w:color w:val="202020"/>
          <w:highlight w:val="white"/>
        </w:rPr>
        <w:t xml:space="preserve">Universal masking is recommended to all staff and residents, regardless of vaccination status and </w:t>
      </w:r>
      <w:r w:rsidR="00283135" w:rsidRPr="0ACB9ACA">
        <w:rPr>
          <w:color w:val="202020"/>
          <w:highlight w:val="white"/>
        </w:rPr>
        <w:t xml:space="preserve">local </w:t>
      </w:r>
      <w:r w:rsidR="6B0B51EE" w:rsidRPr="0ACB9ACA">
        <w:rPr>
          <w:color w:val="202020"/>
          <w:highlight w:val="white"/>
        </w:rPr>
        <w:t xml:space="preserve">COVID-19 wastewater level, </w:t>
      </w:r>
      <w:r w:rsidR="007E1DC9" w:rsidRPr="0ACB9ACA">
        <w:rPr>
          <w:color w:val="202020"/>
          <w:highlight w:val="white"/>
        </w:rPr>
        <w:t>when any healthcare is being provided</w:t>
      </w:r>
      <w:r w:rsidRPr="0ACB9ACA">
        <w:rPr>
          <w:color w:val="202020"/>
          <w:highlight w:val="white"/>
        </w:rPr>
        <w:t xml:space="preserve">. </w:t>
      </w:r>
      <w:r w:rsidRPr="009D61AF">
        <w:rPr>
          <w:i/>
          <w:iCs/>
          <w:color w:val="202020"/>
        </w:rPr>
        <w:t>Universal masking is required in all clinical isolation areas</w:t>
      </w:r>
      <w:r w:rsidR="0006634E" w:rsidRPr="009D61AF">
        <w:rPr>
          <w:color w:val="202020"/>
        </w:rPr>
        <w:t xml:space="preserve">. </w:t>
      </w:r>
      <w:r w:rsidR="00587577" w:rsidRPr="0ACB9ACA">
        <w:rPr>
          <w:color w:val="202020"/>
          <w:highlight w:val="white"/>
        </w:rPr>
        <w:t xml:space="preserve">Masks should be readily on hand and available to the incarcerated population and staff of the facility. </w:t>
      </w:r>
    </w:p>
    <w:p w14:paraId="1C0FC13B" w14:textId="10636E94" w:rsidR="00C445BC" w:rsidRPr="0010483E" w:rsidRDefault="08FF0233" w:rsidP="4574B138">
      <w:pPr>
        <w:spacing w:before="240" w:after="240" w:line="276" w:lineRule="auto"/>
      </w:pPr>
      <w:r>
        <w:t>Masks are a useful prevention tool in this setting, especially during times of increased respiratory virus transmission in the community</w:t>
      </w:r>
      <w:r w:rsidR="49792EF1">
        <w:t xml:space="preserve"> or during an outbreak</w:t>
      </w:r>
      <w:r>
        <w:t xml:space="preserve">. Masking of patients identified with medical vulnerabilities should be encouraged and made available upon patient request throughout their incarceration. </w:t>
      </w:r>
      <w:r w:rsidR="1A65C1B6" w:rsidRPr="00EC2F5A">
        <w:t xml:space="preserve">The </w:t>
      </w:r>
      <w:hyperlink r:id="rId9" w:history="1">
        <w:r w:rsidR="1A65C1B6" w:rsidRPr="00EC2F5A">
          <w:rPr>
            <w:rStyle w:val="Hyperlink"/>
          </w:rPr>
          <w:t>CDC</w:t>
        </w:r>
        <w:r w:rsidR="2A242DDC" w:rsidRPr="00EC2F5A">
          <w:rPr>
            <w:rStyle w:val="Hyperlink"/>
          </w:rPr>
          <w:t xml:space="preserve"> </w:t>
        </w:r>
        <w:r w:rsidRPr="00EC2F5A">
          <w:rPr>
            <w:rStyle w:val="Hyperlink"/>
          </w:rPr>
          <w:t>recommend</w:t>
        </w:r>
        <w:r w:rsidR="4DBD9306" w:rsidRPr="00EC2F5A">
          <w:rPr>
            <w:rStyle w:val="Hyperlink"/>
          </w:rPr>
          <w:t>s</w:t>
        </w:r>
      </w:hyperlink>
      <w:r w:rsidRPr="00EC2F5A">
        <w:t xml:space="preserve"> that all persons who test positive for COVID-19</w:t>
      </w:r>
      <w:r w:rsidR="6FFF935F" w:rsidRPr="00EC2F5A">
        <w:t xml:space="preserve"> or who are ill with a respiratory virus </w:t>
      </w:r>
      <w:r w:rsidRPr="00EC2F5A">
        <w:t xml:space="preserve">wear a mask for </w:t>
      </w:r>
      <w:r w:rsidR="50AC9910" w:rsidRPr="00EC2F5A">
        <w:t>5</w:t>
      </w:r>
      <w:r w:rsidRPr="00EC2F5A">
        <w:t xml:space="preserve"> days when around others in indoor settings. </w:t>
      </w:r>
      <w:r w:rsidR="00760550" w:rsidRPr="00EC2F5A">
        <w:t>High</w:t>
      </w:r>
      <w:r w:rsidR="00760550">
        <w:t xml:space="preserve"> quality, well-fitting f</w:t>
      </w:r>
      <w:r w:rsidR="00C445BC">
        <w:t xml:space="preserve">ace </w:t>
      </w:r>
      <w:r w:rsidR="006B7222">
        <w:t>masks</w:t>
      </w:r>
      <w:r w:rsidR="00C445BC">
        <w:t xml:space="preserve"> will be clean, undamaged, and worn over the nose and mouth.</w:t>
      </w:r>
    </w:p>
    <w:p w14:paraId="2374BEEA" w14:textId="77777777" w:rsidR="00C445BC" w:rsidRPr="0010483E" w:rsidRDefault="00C445BC" w:rsidP="00C445BC">
      <w:pPr>
        <w:spacing w:before="240" w:after="240"/>
      </w:pPr>
      <w:r w:rsidRPr="0010483E">
        <w:lastRenderedPageBreak/>
        <w:t>The following exceptions may apply:</w:t>
      </w:r>
    </w:p>
    <w:p w14:paraId="50CCDF9D" w14:textId="77777777" w:rsidR="00C445BC" w:rsidRPr="0010483E" w:rsidRDefault="00C445BC" w:rsidP="00C445BC">
      <w:pPr>
        <w:numPr>
          <w:ilvl w:val="0"/>
          <w:numId w:val="5"/>
        </w:numPr>
        <w:spacing w:before="240" w:after="0" w:line="276" w:lineRule="auto"/>
      </w:pPr>
      <w:r w:rsidRPr="0010483E">
        <w:t>Employees who cannot wear face coverings due to a medical or mental health condition or disability, or who are hearing-impaired or communicating with a hearing-impaired person. Such employees shall wear an effective non-restrictive alternative, such as a face shield with a drape on the bottom, if the condition or disability permits it.</w:t>
      </w:r>
    </w:p>
    <w:p w14:paraId="5EAB643F" w14:textId="77777777" w:rsidR="00C445BC" w:rsidRDefault="00C445BC" w:rsidP="00C445BC">
      <w:pPr>
        <w:numPr>
          <w:ilvl w:val="0"/>
          <w:numId w:val="5"/>
        </w:numPr>
        <w:spacing w:after="240" w:line="276" w:lineRule="auto"/>
      </w:pPr>
      <w:r>
        <w:t>During specific tasks which cannot feasibly be performed with a face covering. This exception is limited to the time period in which such tasks are actually being performed.</w:t>
      </w:r>
    </w:p>
    <w:p w14:paraId="3EA26934" w14:textId="77777777" w:rsidR="00157FA1" w:rsidRPr="00157FA1" w:rsidRDefault="00157FA1" w:rsidP="00157FA1">
      <w:pPr>
        <w:spacing w:after="240" w:line="276" w:lineRule="auto"/>
        <w:jc w:val="center"/>
        <w:rPr>
          <w:b/>
        </w:rPr>
      </w:pPr>
      <w:r w:rsidRPr="4574B138">
        <w:rPr>
          <w:b/>
          <w:bCs/>
        </w:rPr>
        <w:t>Mitigation</w:t>
      </w:r>
    </w:p>
    <w:p w14:paraId="6C99ED28" w14:textId="77777777" w:rsidR="007E1DC9" w:rsidRDefault="007E1DC9" w:rsidP="007E1DC9">
      <w:pPr>
        <w:spacing w:after="240" w:line="276" w:lineRule="auto"/>
      </w:pPr>
      <w:r>
        <w:rPr>
          <w:b/>
        </w:rPr>
        <w:t xml:space="preserve">Medical Isolation Areas: </w:t>
      </w:r>
      <w:r>
        <w:t>The facility will predetermine medical isolation areas so that timely movement of positive cases can occur to remove them from their current housing area.</w:t>
      </w:r>
    </w:p>
    <w:p w14:paraId="682C0DD7" w14:textId="21DDDFD4" w:rsidR="007E1DC9" w:rsidRDefault="007E1DC9" w:rsidP="007E1DC9">
      <w:pPr>
        <w:spacing w:after="240" w:line="276" w:lineRule="auto"/>
      </w:pPr>
      <w:r w:rsidRPr="0ACB9ACA">
        <w:rPr>
          <w:b/>
          <w:bCs/>
        </w:rPr>
        <w:t>Communication of Positive Cases:</w:t>
      </w:r>
      <w:r>
        <w:t xml:space="preserve"> Facility communication will occur allowing </w:t>
      </w:r>
      <w:r w:rsidR="00157FA1">
        <w:t>for clear identification that a positive case has occurred and the disposition area of the case. The daily cheat sheet will determine if an area of the jail is being used to house a known positive case of a respiratory virus. Email correspondence will include key parties to facilitate the movement of the patient timely and efficiently.</w:t>
      </w:r>
    </w:p>
    <w:p w14:paraId="17D73F84" w14:textId="659BAB23" w:rsidR="69522F11" w:rsidRDefault="69522F11" w:rsidP="60637258">
      <w:pPr>
        <w:spacing w:after="240" w:line="276" w:lineRule="auto"/>
      </w:pPr>
      <w:r w:rsidRPr="006B26A8">
        <w:t xml:space="preserve">Communication of </w:t>
      </w:r>
      <w:r w:rsidR="2AC11237" w:rsidRPr="006B26A8">
        <w:t xml:space="preserve">all </w:t>
      </w:r>
      <w:r w:rsidRPr="006B26A8">
        <w:t>positive staff and resident cases to ACPHD will occur within 24 hours via SPOT</w:t>
      </w:r>
      <w:r w:rsidR="00E0A329" w:rsidRPr="006B26A8">
        <w:t>,</w:t>
      </w:r>
      <w:r>
        <w:t xml:space="preserve"> and internally via the daily reporting email that is sent to the facility email distribution list.</w:t>
      </w:r>
    </w:p>
    <w:p w14:paraId="7D1BEA1C" w14:textId="7AA4686D" w:rsidR="00157FA1" w:rsidRDefault="439DFB0D" w:rsidP="0ACB9ACA">
      <w:pPr>
        <w:spacing w:after="240" w:line="276" w:lineRule="auto"/>
        <w:rPr>
          <w:b/>
          <w:bCs/>
        </w:rPr>
      </w:pPr>
      <w:r w:rsidRPr="0ACB9ACA">
        <w:rPr>
          <w:b/>
          <w:bCs/>
        </w:rPr>
        <w:t xml:space="preserve">Monitoring and </w:t>
      </w:r>
      <w:r w:rsidR="00157FA1" w:rsidRPr="0ACB9ACA">
        <w:rPr>
          <w:b/>
          <w:bCs/>
        </w:rPr>
        <w:t xml:space="preserve">Testing </w:t>
      </w:r>
      <w:r w:rsidR="67BFBC12" w:rsidRPr="0ACB9ACA">
        <w:rPr>
          <w:b/>
          <w:bCs/>
        </w:rPr>
        <w:t xml:space="preserve">of </w:t>
      </w:r>
      <w:r w:rsidR="00157FA1" w:rsidRPr="0ACB9ACA">
        <w:rPr>
          <w:b/>
          <w:bCs/>
        </w:rPr>
        <w:t>Incarcerated Individuals</w:t>
      </w:r>
    </w:p>
    <w:p w14:paraId="32F141CA" w14:textId="45CFB4A5" w:rsidR="00157FA1" w:rsidRPr="0010483E" w:rsidRDefault="00157FA1" w:rsidP="00157FA1">
      <w:pPr>
        <w:spacing w:before="240" w:after="240"/>
      </w:pPr>
      <w:r>
        <w:t xml:space="preserve">All symptomatic patients arriving to ITR will be offered testing for </w:t>
      </w:r>
      <w:r w:rsidR="05DA03EC">
        <w:t xml:space="preserve">circulating </w:t>
      </w:r>
      <w:r>
        <w:t>respiratory viruses. For the remainder of their incarceration</w:t>
      </w:r>
      <w:r w:rsidR="007226B0">
        <w:t>,</w:t>
      </w:r>
      <w:r>
        <w:t xml:space="preserve"> testing will be available </w:t>
      </w:r>
      <w:r w:rsidR="007226B0">
        <w:t xml:space="preserve">in the same manner </w:t>
      </w:r>
      <w:r>
        <w:t>for persons developing symptoms</w:t>
      </w:r>
      <w:r w:rsidR="007226B0">
        <w:t xml:space="preserve"> at any later time</w:t>
      </w:r>
      <w:r>
        <w:t xml:space="preserve">. </w:t>
      </w:r>
      <w:r w:rsidR="007226B0">
        <w:t>Positive cases will be referred to medical isolation.</w:t>
      </w:r>
    </w:p>
    <w:p w14:paraId="6C75A18C" w14:textId="1FD35980" w:rsidR="007226B0" w:rsidRDefault="007226B0" w:rsidP="007226B0">
      <w:pPr>
        <w:spacing w:after="240" w:line="276" w:lineRule="auto"/>
      </w:pPr>
      <w:r>
        <w:t xml:space="preserve">For individuals </w:t>
      </w:r>
      <w:r w:rsidR="014FE573">
        <w:t>who</w:t>
      </w:r>
      <w:r>
        <w:t xml:space="preserve"> present with symptoms and refuse to be tested, medical provider evaluation will be required</w:t>
      </w:r>
      <w:r w:rsidR="7211955C">
        <w:t xml:space="preserve">, </w:t>
      </w:r>
      <w:r>
        <w:t>and the incarcerated person may be medically isolated until they are evaluated by the provider.</w:t>
      </w:r>
    </w:p>
    <w:p w14:paraId="288D9099" w14:textId="170E60A5" w:rsidR="2CB31A6A" w:rsidRPr="006B26A8" w:rsidRDefault="6EEBA68F" w:rsidP="60637258">
      <w:pPr>
        <w:shd w:val="clear" w:color="auto" w:fill="FFFFFF" w:themeFill="background1"/>
        <w:spacing w:after="0" w:line="276" w:lineRule="auto"/>
        <w:rPr>
          <w:rFonts w:eastAsiaTheme="minorEastAsia"/>
          <w:color w:val="333333"/>
        </w:rPr>
      </w:pPr>
      <w:r w:rsidRPr="006B26A8">
        <w:rPr>
          <w:rFonts w:eastAsiaTheme="minorEastAsia"/>
          <w:i/>
          <w:iCs/>
          <w:color w:val="333333"/>
        </w:rPr>
        <w:t xml:space="preserve">Asymptomatic </w:t>
      </w:r>
      <w:r w:rsidR="225E48F3" w:rsidRPr="006B26A8">
        <w:rPr>
          <w:rFonts w:eastAsiaTheme="minorEastAsia"/>
          <w:i/>
          <w:iCs/>
          <w:color w:val="333333"/>
        </w:rPr>
        <w:t xml:space="preserve">exposed </w:t>
      </w:r>
      <w:r w:rsidRPr="006B26A8">
        <w:rPr>
          <w:rFonts w:eastAsiaTheme="minorEastAsia"/>
          <w:i/>
          <w:iCs/>
          <w:color w:val="333333"/>
        </w:rPr>
        <w:t>r</w:t>
      </w:r>
      <w:r w:rsidR="3B81F025" w:rsidRPr="006B26A8">
        <w:rPr>
          <w:rFonts w:eastAsiaTheme="minorEastAsia"/>
          <w:i/>
          <w:iCs/>
          <w:color w:val="333333"/>
        </w:rPr>
        <w:t>esidents</w:t>
      </w:r>
      <w:r w:rsidR="017C28D3" w:rsidRPr="006B26A8">
        <w:rPr>
          <w:rFonts w:eastAsiaTheme="minorEastAsia"/>
          <w:color w:val="333333"/>
        </w:rPr>
        <w:t>,</w:t>
      </w:r>
      <w:r w:rsidR="3B81F025" w:rsidRPr="006B26A8">
        <w:rPr>
          <w:rFonts w:eastAsiaTheme="minorEastAsia"/>
          <w:color w:val="333333"/>
        </w:rPr>
        <w:t xml:space="preserve"> </w:t>
      </w:r>
      <w:r w:rsidR="43CCB35E" w:rsidRPr="006B26A8">
        <w:rPr>
          <w:rFonts w:eastAsiaTheme="minorEastAsia"/>
          <w:color w:val="333333"/>
        </w:rPr>
        <w:t>in both dormitory style and non-dormitory style housing units</w:t>
      </w:r>
      <w:r w:rsidR="78EE99C6" w:rsidRPr="006B26A8">
        <w:rPr>
          <w:rFonts w:eastAsiaTheme="minorEastAsia"/>
          <w:color w:val="333333"/>
        </w:rPr>
        <w:t>,</w:t>
      </w:r>
      <w:r w:rsidR="43CCB35E" w:rsidRPr="006B26A8">
        <w:rPr>
          <w:rFonts w:eastAsiaTheme="minorEastAsia"/>
          <w:color w:val="333333"/>
        </w:rPr>
        <w:t xml:space="preserve"> </w:t>
      </w:r>
      <w:r w:rsidR="3B81F025" w:rsidRPr="006B26A8">
        <w:rPr>
          <w:rFonts w:eastAsiaTheme="minorEastAsia"/>
          <w:color w:val="333333"/>
        </w:rPr>
        <w:t xml:space="preserve">should be tested at least </w:t>
      </w:r>
      <w:hyperlink r:id="rId10">
        <w:r w:rsidR="3B81F025" w:rsidRPr="006B26A8">
          <w:rPr>
            <w:rStyle w:val="Hyperlink"/>
            <w:rFonts w:eastAsiaTheme="minorEastAsia"/>
            <w:color w:val="467886"/>
          </w:rPr>
          <w:t>5 days from their last exposure</w:t>
        </w:r>
        <w:r w:rsidR="0E92EE8D" w:rsidRPr="006B26A8">
          <w:rPr>
            <w:rStyle w:val="Hyperlink"/>
            <w:rFonts w:eastAsiaTheme="minorEastAsia"/>
            <w:color w:val="467886"/>
          </w:rPr>
          <w:t>.</w:t>
        </w:r>
      </w:hyperlink>
      <w:r w:rsidR="3B81F025" w:rsidRPr="006B26A8">
        <w:rPr>
          <w:rFonts w:eastAsiaTheme="minorEastAsia"/>
          <w:color w:val="333333"/>
        </w:rPr>
        <w:t xml:space="preserve"> </w:t>
      </w:r>
      <w:r w:rsidR="2C501066" w:rsidRPr="006B26A8">
        <w:rPr>
          <w:rFonts w:eastAsiaTheme="minorEastAsia"/>
          <w:i/>
          <w:iCs/>
          <w:color w:val="333333"/>
        </w:rPr>
        <w:t>Asymptomatic e</w:t>
      </w:r>
      <w:r w:rsidR="3B81F025" w:rsidRPr="006B26A8">
        <w:rPr>
          <w:rFonts w:eastAsiaTheme="minorEastAsia"/>
          <w:i/>
          <w:iCs/>
          <w:color w:val="333333"/>
        </w:rPr>
        <w:t>xposed staff</w:t>
      </w:r>
      <w:r w:rsidR="3B81F025" w:rsidRPr="006B26A8">
        <w:rPr>
          <w:rFonts w:eastAsiaTheme="minorEastAsia"/>
          <w:color w:val="333333"/>
        </w:rPr>
        <w:t xml:space="preserve"> should test within 5 days from their last exposure and prior to work. If symptoms develop before 5 days, test immediately.  </w:t>
      </w:r>
    </w:p>
    <w:p w14:paraId="78860A68" w14:textId="77D5E516" w:rsidR="2CB31A6A" w:rsidRPr="006B26A8" w:rsidRDefault="2CB31A6A" w:rsidP="60637258">
      <w:pPr>
        <w:shd w:val="clear" w:color="auto" w:fill="FFFFFF" w:themeFill="background1"/>
        <w:spacing w:after="0" w:line="276" w:lineRule="auto"/>
        <w:rPr>
          <w:rFonts w:eastAsiaTheme="minorEastAsia"/>
          <w:color w:val="000000" w:themeColor="text1"/>
        </w:rPr>
      </w:pPr>
    </w:p>
    <w:p w14:paraId="774A7408" w14:textId="3FF45ACD" w:rsidR="2CB31A6A" w:rsidRPr="006B26A8" w:rsidRDefault="3B81F025" w:rsidP="60637258">
      <w:pPr>
        <w:shd w:val="clear" w:color="auto" w:fill="FFFFFF" w:themeFill="background1"/>
        <w:spacing w:after="0" w:line="276" w:lineRule="auto"/>
        <w:rPr>
          <w:rFonts w:eastAsiaTheme="minorEastAsia"/>
          <w:color w:val="000000" w:themeColor="text1"/>
        </w:rPr>
      </w:pPr>
      <w:r w:rsidRPr="006B26A8">
        <w:rPr>
          <w:rFonts w:eastAsiaTheme="minorEastAsia"/>
          <w:color w:val="000000" w:themeColor="text1"/>
        </w:rPr>
        <w:t>A group-level (e.g., unit</w:t>
      </w:r>
      <w:r w:rsidR="3FEB6BDE" w:rsidRPr="006B26A8">
        <w:rPr>
          <w:rFonts w:eastAsiaTheme="minorEastAsia"/>
          <w:color w:val="000000" w:themeColor="text1"/>
        </w:rPr>
        <w:t xml:space="preserve"> </w:t>
      </w:r>
      <w:r w:rsidRPr="006B26A8">
        <w:rPr>
          <w:rFonts w:eastAsiaTheme="minorEastAsia"/>
          <w:color w:val="000000" w:themeColor="text1"/>
        </w:rPr>
        <w:t>or other specific area(s) of the facility) approach c</w:t>
      </w:r>
      <w:r w:rsidR="35695809" w:rsidRPr="006B26A8">
        <w:rPr>
          <w:rFonts w:eastAsiaTheme="minorEastAsia"/>
          <w:color w:val="000000" w:themeColor="text1"/>
        </w:rPr>
        <w:t>an</w:t>
      </w:r>
      <w:r w:rsidRPr="006B26A8">
        <w:rPr>
          <w:rFonts w:eastAsiaTheme="minorEastAsia"/>
          <w:color w:val="000000" w:themeColor="text1"/>
        </w:rPr>
        <w:t xml:space="preserve"> be </w:t>
      </w:r>
      <w:r w:rsidR="40AE2C1F" w:rsidRPr="006B26A8">
        <w:rPr>
          <w:rFonts w:eastAsiaTheme="minorEastAsia"/>
          <w:color w:val="000000" w:themeColor="text1"/>
        </w:rPr>
        <w:t>used</w:t>
      </w:r>
      <w:r w:rsidRPr="006B26A8">
        <w:rPr>
          <w:rFonts w:eastAsiaTheme="minorEastAsia"/>
          <w:color w:val="000000" w:themeColor="text1"/>
        </w:rPr>
        <w:t xml:space="preserve"> if the outbreak </w:t>
      </w:r>
      <w:r w:rsidR="7113AEA4" w:rsidRPr="006B26A8">
        <w:rPr>
          <w:rFonts w:eastAsiaTheme="minorEastAsia"/>
          <w:color w:val="000000" w:themeColor="text1"/>
        </w:rPr>
        <w:t>is not</w:t>
      </w:r>
      <w:r w:rsidRPr="006B26A8">
        <w:rPr>
          <w:rFonts w:eastAsiaTheme="minorEastAsia"/>
          <w:color w:val="000000" w:themeColor="text1"/>
        </w:rPr>
        <w:t xml:space="preserve"> controlled </w:t>
      </w:r>
      <w:r w:rsidR="57C67F8C" w:rsidRPr="006B26A8">
        <w:rPr>
          <w:rFonts w:eastAsiaTheme="minorEastAsia"/>
          <w:color w:val="000000" w:themeColor="text1"/>
        </w:rPr>
        <w:t>using the</w:t>
      </w:r>
      <w:r w:rsidRPr="006B26A8">
        <w:rPr>
          <w:rFonts w:eastAsiaTheme="minorEastAsia"/>
          <w:color w:val="000000" w:themeColor="text1"/>
        </w:rPr>
        <w:t xml:space="preserve"> contact tracing approach</w:t>
      </w:r>
      <w:r w:rsidRPr="006B26A8">
        <w:rPr>
          <w:rFonts w:eastAsiaTheme="minorEastAsia"/>
          <w:b/>
          <w:bCs/>
          <w:color w:val="000000" w:themeColor="text1"/>
        </w:rPr>
        <w:t>. </w:t>
      </w:r>
      <w:r w:rsidR="41BD076B" w:rsidRPr="006B26A8">
        <w:rPr>
          <w:rFonts w:eastAsiaTheme="minorEastAsia"/>
          <w:color w:val="000000" w:themeColor="text1"/>
        </w:rPr>
        <w:t>T</w:t>
      </w:r>
      <w:r w:rsidRPr="006B26A8">
        <w:rPr>
          <w:rFonts w:eastAsiaTheme="minorEastAsia"/>
          <w:color w:val="000000" w:themeColor="text1"/>
        </w:rPr>
        <w:t>es</w:t>
      </w:r>
      <w:r w:rsidR="3B68AC38" w:rsidRPr="006B26A8">
        <w:rPr>
          <w:rFonts w:eastAsiaTheme="minorEastAsia"/>
          <w:color w:val="000000" w:themeColor="text1"/>
        </w:rPr>
        <w:t>t residents</w:t>
      </w:r>
      <w:r w:rsidRPr="006B26A8">
        <w:rPr>
          <w:rFonts w:eastAsiaTheme="minorEastAsia"/>
          <w:color w:val="000000" w:themeColor="text1"/>
        </w:rPr>
        <w:t xml:space="preserve"> </w:t>
      </w:r>
      <w:r w:rsidR="415D4BAB" w:rsidRPr="006B26A8">
        <w:rPr>
          <w:rFonts w:eastAsiaTheme="minorEastAsia"/>
          <w:color w:val="000000" w:themeColor="text1"/>
        </w:rPr>
        <w:t>i</w:t>
      </w:r>
      <w:r w:rsidRPr="006B26A8">
        <w:rPr>
          <w:rFonts w:eastAsiaTheme="minorEastAsia"/>
          <w:color w:val="000000" w:themeColor="text1"/>
        </w:rPr>
        <w:t>n the affected unit(s) twice weekly until there are no new cases for 14 days.</w:t>
      </w:r>
    </w:p>
    <w:p w14:paraId="40459619" w14:textId="37D40CC7" w:rsidR="2014DC29" w:rsidRDefault="2014DC29" w:rsidP="60637258">
      <w:pPr>
        <w:shd w:val="clear" w:color="auto" w:fill="FFFFFF" w:themeFill="background1"/>
        <w:spacing w:after="0" w:line="276" w:lineRule="auto"/>
        <w:rPr>
          <w:rFonts w:eastAsiaTheme="minorEastAsia"/>
          <w:color w:val="000000" w:themeColor="text1"/>
        </w:rPr>
      </w:pPr>
    </w:p>
    <w:p w14:paraId="36B1755B" w14:textId="33A96E41" w:rsidR="2014DC29" w:rsidRDefault="2014DC29" w:rsidP="4574B138">
      <w:pPr>
        <w:spacing w:after="240" w:line="276" w:lineRule="auto"/>
        <w:rPr>
          <w:rFonts w:ascii="Calibri" w:eastAsia="Calibri" w:hAnsi="Calibri" w:cs="Calibri"/>
        </w:rPr>
      </w:pPr>
      <w:r w:rsidRPr="4574B138">
        <w:rPr>
          <w:i/>
          <w:iCs/>
        </w:rPr>
        <w:t>Testing asymptomatic persons exposed to influenza is NOT recommended.</w:t>
      </w:r>
      <w:r w:rsidR="7C38813C" w:rsidRPr="4574B138">
        <w:rPr>
          <w:i/>
          <w:iCs/>
        </w:rPr>
        <w:t xml:space="preserve"> </w:t>
      </w:r>
      <w:r w:rsidR="043CF445" w:rsidRPr="4574B138">
        <w:t>Instead, c</w:t>
      </w:r>
      <w:r w:rsidR="7C38813C" w:rsidRPr="4574B138">
        <w:rPr>
          <w:rFonts w:ascii="Calibri" w:eastAsia="Calibri" w:hAnsi="Calibri" w:cs="Calibri"/>
        </w:rPr>
        <w:t xml:space="preserve">onduct active daily </w:t>
      </w:r>
      <w:r w:rsidR="334E243A" w:rsidRPr="4574B138">
        <w:rPr>
          <w:rFonts w:ascii="Calibri" w:eastAsia="Calibri" w:hAnsi="Calibri" w:cs="Calibri"/>
        </w:rPr>
        <w:t xml:space="preserve">symptom </w:t>
      </w:r>
      <w:r w:rsidR="7C38813C" w:rsidRPr="4574B138">
        <w:rPr>
          <w:rFonts w:ascii="Calibri" w:eastAsia="Calibri" w:hAnsi="Calibri" w:cs="Calibri"/>
        </w:rPr>
        <w:t xml:space="preserve">monitoring </w:t>
      </w:r>
      <w:r w:rsidR="6C2F311A" w:rsidRPr="4574B138">
        <w:rPr>
          <w:rFonts w:ascii="Calibri" w:eastAsia="Calibri" w:hAnsi="Calibri" w:cs="Calibri"/>
        </w:rPr>
        <w:t xml:space="preserve">in these persons for </w:t>
      </w:r>
      <w:r w:rsidR="57CA9E59" w:rsidRPr="4574B138">
        <w:rPr>
          <w:rFonts w:ascii="Calibri" w:eastAsia="Calibri" w:hAnsi="Calibri" w:cs="Calibri"/>
        </w:rPr>
        <w:t>5 days.</w:t>
      </w:r>
    </w:p>
    <w:p w14:paraId="77C3566A" w14:textId="77777777" w:rsidR="00157FA1" w:rsidRPr="0010483E" w:rsidRDefault="00157FA1" w:rsidP="007226B0">
      <w:pPr>
        <w:spacing w:after="240" w:line="276" w:lineRule="auto"/>
        <w:rPr>
          <w:b/>
        </w:rPr>
      </w:pPr>
      <w:r w:rsidRPr="0010483E">
        <w:rPr>
          <w:b/>
        </w:rPr>
        <w:t>Color Coding System and Alerts</w:t>
      </w:r>
      <w:r>
        <w:rPr>
          <w:b/>
        </w:rPr>
        <w:t>:</w:t>
      </w:r>
    </w:p>
    <w:tbl>
      <w:tblPr>
        <w:tblW w:w="10335" w:type="dxa"/>
        <w:tblInd w:w="-240" w:type="dxa"/>
        <w:tblBorders>
          <w:top w:val="nil"/>
          <w:left w:val="nil"/>
          <w:bottom w:val="nil"/>
          <w:right w:val="nil"/>
          <w:insideH w:val="nil"/>
          <w:insideV w:val="nil"/>
        </w:tblBorders>
        <w:tblLayout w:type="fixed"/>
        <w:tblLook w:val="0600" w:firstRow="0" w:lastRow="0" w:firstColumn="0" w:lastColumn="0" w:noHBand="1" w:noVBand="1"/>
      </w:tblPr>
      <w:tblGrid>
        <w:gridCol w:w="2205"/>
        <w:gridCol w:w="5355"/>
        <w:gridCol w:w="2775"/>
      </w:tblGrid>
      <w:tr w:rsidR="00046274" w:rsidRPr="0010483E" w14:paraId="6AFD1160" w14:textId="77777777" w:rsidTr="0ACB9ACA">
        <w:trPr>
          <w:trHeight w:val="555"/>
        </w:trPr>
        <w:tc>
          <w:tcPr>
            <w:tcW w:w="22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00" w:type="dxa"/>
              <w:bottom w:w="0" w:type="dxa"/>
              <w:right w:w="100" w:type="dxa"/>
            </w:tcMar>
          </w:tcPr>
          <w:p w14:paraId="1BD729B4" w14:textId="77777777" w:rsidR="00157FA1" w:rsidRPr="0010483E" w:rsidRDefault="00157FA1">
            <w:pPr>
              <w:spacing w:before="240"/>
              <w:rPr>
                <w:b/>
              </w:rPr>
            </w:pPr>
            <w:r w:rsidRPr="0010483E">
              <w:rPr>
                <w:b/>
              </w:rPr>
              <w:lastRenderedPageBreak/>
              <w:t xml:space="preserve"> </w:t>
            </w:r>
          </w:p>
        </w:tc>
        <w:tc>
          <w:tcPr>
            <w:tcW w:w="5355" w:type="dxa"/>
            <w:tcBorders>
              <w:top w:val="single" w:sz="6" w:space="0" w:color="000000" w:themeColor="text1"/>
              <w:left w:val="nil"/>
              <w:bottom w:val="single" w:sz="6" w:space="0" w:color="000000" w:themeColor="text1"/>
              <w:right w:val="single" w:sz="6" w:space="0" w:color="000000" w:themeColor="text1"/>
            </w:tcBorders>
            <w:tcMar>
              <w:top w:w="0" w:type="dxa"/>
              <w:left w:w="100" w:type="dxa"/>
              <w:bottom w:w="0" w:type="dxa"/>
              <w:right w:w="100" w:type="dxa"/>
            </w:tcMar>
          </w:tcPr>
          <w:p w14:paraId="2867A859" w14:textId="77777777" w:rsidR="00157FA1" w:rsidRPr="0010483E" w:rsidRDefault="00157FA1">
            <w:pPr>
              <w:spacing w:before="240"/>
              <w:rPr>
                <w:b/>
              </w:rPr>
            </w:pPr>
            <w:r w:rsidRPr="0010483E">
              <w:rPr>
                <w:b/>
              </w:rPr>
              <w:t>REQUIREMENT</w:t>
            </w:r>
          </w:p>
        </w:tc>
        <w:tc>
          <w:tcPr>
            <w:tcW w:w="2775" w:type="dxa"/>
            <w:tcBorders>
              <w:top w:val="single" w:sz="6" w:space="0" w:color="000000" w:themeColor="text1"/>
              <w:left w:val="nil"/>
              <w:bottom w:val="single" w:sz="6" w:space="0" w:color="000000" w:themeColor="text1"/>
              <w:right w:val="single" w:sz="6" w:space="0" w:color="000000" w:themeColor="text1"/>
            </w:tcBorders>
            <w:tcMar>
              <w:top w:w="0" w:type="dxa"/>
              <w:left w:w="100" w:type="dxa"/>
              <w:bottom w:w="0" w:type="dxa"/>
              <w:right w:w="100" w:type="dxa"/>
            </w:tcMar>
          </w:tcPr>
          <w:p w14:paraId="2BB21C86" w14:textId="77777777" w:rsidR="00157FA1" w:rsidRPr="0010483E" w:rsidRDefault="00157FA1">
            <w:pPr>
              <w:spacing w:before="240"/>
              <w:rPr>
                <w:b/>
              </w:rPr>
            </w:pPr>
            <w:r w:rsidRPr="0010483E">
              <w:rPr>
                <w:b/>
              </w:rPr>
              <w:t>ATIM ALERT ASSIGNMENT</w:t>
            </w:r>
          </w:p>
        </w:tc>
      </w:tr>
      <w:tr w:rsidR="00F100ED" w:rsidRPr="0010483E" w14:paraId="311BD543" w14:textId="77777777" w:rsidTr="0ACB9ACA">
        <w:trPr>
          <w:trHeight w:val="825"/>
        </w:trPr>
        <w:tc>
          <w:tcPr>
            <w:tcW w:w="2205" w:type="dxa"/>
            <w:tcBorders>
              <w:top w:val="nil"/>
              <w:left w:val="single" w:sz="6" w:space="0" w:color="000000" w:themeColor="text1"/>
              <w:bottom w:val="single" w:sz="6" w:space="0" w:color="000000" w:themeColor="text1"/>
              <w:right w:val="single" w:sz="6" w:space="0" w:color="000000" w:themeColor="text1"/>
            </w:tcBorders>
            <w:tcMar>
              <w:top w:w="0" w:type="dxa"/>
              <w:left w:w="100" w:type="dxa"/>
              <w:bottom w:w="0" w:type="dxa"/>
              <w:right w:w="100" w:type="dxa"/>
            </w:tcMar>
          </w:tcPr>
          <w:p w14:paraId="099081C5" w14:textId="77777777" w:rsidR="00157FA1" w:rsidRPr="0010483E" w:rsidRDefault="00157FA1">
            <w:pPr>
              <w:spacing w:before="240"/>
              <w:rPr>
                <w:b/>
                <w:highlight w:val="red"/>
              </w:rPr>
            </w:pPr>
            <w:r w:rsidRPr="0010483E">
              <w:rPr>
                <w:b/>
                <w:highlight w:val="red"/>
              </w:rPr>
              <w:t>RED medical alert</w:t>
            </w:r>
          </w:p>
        </w:tc>
        <w:tc>
          <w:tcPr>
            <w:tcW w:w="5355" w:type="dxa"/>
            <w:tcBorders>
              <w:top w:val="nil"/>
              <w:left w:val="nil"/>
              <w:bottom w:val="single" w:sz="6" w:space="0" w:color="000000" w:themeColor="text1"/>
              <w:right w:val="single" w:sz="6" w:space="0" w:color="000000" w:themeColor="text1"/>
            </w:tcBorders>
            <w:tcMar>
              <w:top w:w="0" w:type="dxa"/>
              <w:left w:w="100" w:type="dxa"/>
              <w:bottom w:w="0" w:type="dxa"/>
              <w:right w:w="100" w:type="dxa"/>
            </w:tcMar>
          </w:tcPr>
          <w:p w14:paraId="07CF19A4" w14:textId="77777777" w:rsidR="00157FA1" w:rsidRPr="0010483E" w:rsidRDefault="00157FA1">
            <w:pPr>
              <w:spacing w:before="240"/>
            </w:pPr>
            <w:r w:rsidRPr="0010483E">
              <w:t xml:space="preserve">Symptomatic patient(s) with suspected </w:t>
            </w:r>
            <w:r w:rsidR="007226B0">
              <w:t>respiratory virus infection who refuse to be tested</w:t>
            </w:r>
          </w:p>
        </w:tc>
        <w:tc>
          <w:tcPr>
            <w:tcW w:w="2775" w:type="dxa"/>
            <w:tcBorders>
              <w:top w:val="nil"/>
              <w:left w:val="nil"/>
              <w:bottom w:val="single" w:sz="6" w:space="0" w:color="000000" w:themeColor="text1"/>
              <w:right w:val="single" w:sz="6" w:space="0" w:color="000000" w:themeColor="text1"/>
            </w:tcBorders>
            <w:tcMar>
              <w:top w:w="0" w:type="dxa"/>
              <w:left w:w="100" w:type="dxa"/>
              <w:bottom w:w="0" w:type="dxa"/>
              <w:right w:w="100" w:type="dxa"/>
            </w:tcMar>
          </w:tcPr>
          <w:p w14:paraId="2F176F76" w14:textId="77777777" w:rsidR="00157FA1" w:rsidRPr="0010483E" w:rsidRDefault="00157FA1">
            <w:pPr>
              <w:spacing w:before="240"/>
            </w:pPr>
            <w:r w:rsidRPr="0010483E">
              <w:t>The responsible nurse who is performing the assessment.</w:t>
            </w:r>
          </w:p>
        </w:tc>
      </w:tr>
      <w:tr w:rsidR="00F100ED" w:rsidRPr="0010483E" w14:paraId="7C9026BB" w14:textId="77777777" w:rsidTr="0ACB9ACA">
        <w:trPr>
          <w:trHeight w:val="1095"/>
        </w:trPr>
        <w:tc>
          <w:tcPr>
            <w:tcW w:w="2205" w:type="dxa"/>
            <w:tcBorders>
              <w:top w:val="nil"/>
              <w:left w:val="single" w:sz="6" w:space="0" w:color="000000" w:themeColor="text1"/>
              <w:bottom w:val="single" w:sz="6" w:space="0" w:color="000000" w:themeColor="text1"/>
              <w:right w:val="single" w:sz="6" w:space="0" w:color="000000" w:themeColor="text1"/>
            </w:tcBorders>
            <w:tcMar>
              <w:top w:w="0" w:type="dxa"/>
              <w:left w:w="100" w:type="dxa"/>
              <w:bottom w:w="0" w:type="dxa"/>
              <w:right w:w="100" w:type="dxa"/>
            </w:tcMar>
          </w:tcPr>
          <w:p w14:paraId="13D14B8D" w14:textId="77777777" w:rsidR="00157FA1" w:rsidRPr="0010483E" w:rsidRDefault="00157FA1">
            <w:pPr>
              <w:spacing w:before="240"/>
              <w:rPr>
                <w:b/>
                <w:color w:val="FFFFFF"/>
                <w:shd w:val="clear" w:color="auto" w:fill="8B0000"/>
              </w:rPr>
            </w:pPr>
            <w:r w:rsidRPr="0010483E">
              <w:rPr>
                <w:b/>
                <w:color w:val="FFFFFF"/>
                <w:shd w:val="clear" w:color="auto" w:fill="8B0000"/>
              </w:rPr>
              <w:t>DARK RED medical alert</w:t>
            </w:r>
          </w:p>
        </w:tc>
        <w:tc>
          <w:tcPr>
            <w:tcW w:w="5355" w:type="dxa"/>
            <w:tcBorders>
              <w:top w:val="nil"/>
              <w:left w:val="nil"/>
              <w:bottom w:val="single" w:sz="6" w:space="0" w:color="000000" w:themeColor="text1"/>
              <w:right w:val="single" w:sz="6" w:space="0" w:color="000000" w:themeColor="text1"/>
            </w:tcBorders>
            <w:tcMar>
              <w:top w:w="0" w:type="dxa"/>
              <w:left w:w="100" w:type="dxa"/>
              <w:bottom w:w="0" w:type="dxa"/>
              <w:right w:w="100" w:type="dxa"/>
            </w:tcMar>
          </w:tcPr>
          <w:p w14:paraId="5F4C1C63" w14:textId="2AE4EB2A" w:rsidR="00157FA1" w:rsidRPr="0010483E" w:rsidRDefault="00157FA1">
            <w:pPr>
              <w:spacing w:before="240"/>
            </w:pPr>
            <w:r>
              <w:t xml:space="preserve">Symptomatic or Asymptomatic patient(s) with </w:t>
            </w:r>
            <w:r w:rsidR="006B26A8">
              <w:t xml:space="preserve">positive </w:t>
            </w:r>
            <w:r>
              <w:t>COVID-19 test</w:t>
            </w:r>
          </w:p>
        </w:tc>
        <w:tc>
          <w:tcPr>
            <w:tcW w:w="2775" w:type="dxa"/>
            <w:tcBorders>
              <w:top w:val="nil"/>
              <w:left w:val="nil"/>
              <w:bottom w:val="single" w:sz="6" w:space="0" w:color="000000" w:themeColor="text1"/>
              <w:right w:val="single" w:sz="6" w:space="0" w:color="000000" w:themeColor="text1"/>
            </w:tcBorders>
            <w:tcMar>
              <w:top w:w="0" w:type="dxa"/>
              <w:left w:w="100" w:type="dxa"/>
              <w:bottom w:w="0" w:type="dxa"/>
              <w:right w:w="100" w:type="dxa"/>
            </w:tcMar>
          </w:tcPr>
          <w:p w14:paraId="05E9FCB4" w14:textId="77777777" w:rsidR="00157FA1" w:rsidRPr="0010483E" w:rsidRDefault="00157FA1">
            <w:pPr>
              <w:spacing w:before="240"/>
            </w:pPr>
            <w:r w:rsidRPr="0010483E">
              <w:t>The Line list team or the charge nurse.</w:t>
            </w:r>
          </w:p>
        </w:tc>
      </w:tr>
      <w:tr w:rsidR="00F100ED" w:rsidRPr="0010483E" w14:paraId="6FA876A4" w14:textId="77777777" w:rsidTr="0ACB9ACA">
        <w:trPr>
          <w:trHeight w:val="825"/>
        </w:trPr>
        <w:tc>
          <w:tcPr>
            <w:tcW w:w="2205" w:type="dxa"/>
            <w:tcBorders>
              <w:top w:val="nil"/>
              <w:left w:val="single" w:sz="6" w:space="0" w:color="000000" w:themeColor="text1"/>
              <w:bottom w:val="single" w:sz="6" w:space="0" w:color="000000" w:themeColor="text1"/>
              <w:right w:val="single" w:sz="6" w:space="0" w:color="000000" w:themeColor="text1"/>
            </w:tcBorders>
            <w:tcMar>
              <w:top w:w="0" w:type="dxa"/>
              <w:left w:w="100" w:type="dxa"/>
              <w:bottom w:w="0" w:type="dxa"/>
              <w:right w:w="100" w:type="dxa"/>
            </w:tcMar>
          </w:tcPr>
          <w:p w14:paraId="412ACD9E" w14:textId="77777777" w:rsidR="00157FA1" w:rsidRPr="0010483E" w:rsidRDefault="00157FA1">
            <w:pPr>
              <w:spacing w:before="240"/>
              <w:rPr>
                <w:b/>
                <w:color w:val="FFFFFF"/>
                <w:shd w:val="clear" w:color="auto" w:fill="800080"/>
              </w:rPr>
            </w:pPr>
            <w:r w:rsidRPr="0010483E">
              <w:rPr>
                <w:b/>
                <w:color w:val="FFFFFF"/>
                <w:shd w:val="clear" w:color="auto" w:fill="800080"/>
              </w:rPr>
              <w:t>PURPLE medical alert</w:t>
            </w:r>
          </w:p>
        </w:tc>
        <w:tc>
          <w:tcPr>
            <w:tcW w:w="5355" w:type="dxa"/>
            <w:tcBorders>
              <w:top w:val="nil"/>
              <w:left w:val="nil"/>
              <w:bottom w:val="single" w:sz="6" w:space="0" w:color="000000" w:themeColor="text1"/>
              <w:right w:val="single" w:sz="6" w:space="0" w:color="000000" w:themeColor="text1"/>
            </w:tcBorders>
            <w:tcMar>
              <w:top w:w="0" w:type="dxa"/>
              <w:left w:w="100" w:type="dxa"/>
              <w:bottom w:w="0" w:type="dxa"/>
              <w:right w:w="100" w:type="dxa"/>
            </w:tcMar>
          </w:tcPr>
          <w:p w14:paraId="221EFFA4" w14:textId="4C4D02E5" w:rsidR="00157FA1" w:rsidRPr="0010483E" w:rsidRDefault="00157FA1">
            <w:pPr>
              <w:spacing w:before="240"/>
            </w:pPr>
            <w:r>
              <w:t xml:space="preserve">Symptomatic patient(s) with </w:t>
            </w:r>
            <w:r w:rsidR="006B26A8">
              <w:t>positive</w:t>
            </w:r>
            <w:r>
              <w:t xml:space="preserve"> Influenza test</w:t>
            </w:r>
          </w:p>
        </w:tc>
        <w:tc>
          <w:tcPr>
            <w:tcW w:w="2775" w:type="dxa"/>
            <w:tcBorders>
              <w:top w:val="nil"/>
              <w:left w:val="nil"/>
              <w:bottom w:val="single" w:sz="6" w:space="0" w:color="000000" w:themeColor="text1"/>
              <w:right w:val="single" w:sz="6" w:space="0" w:color="000000" w:themeColor="text1"/>
            </w:tcBorders>
            <w:tcMar>
              <w:top w:w="0" w:type="dxa"/>
              <w:left w:w="100" w:type="dxa"/>
              <w:bottom w:w="0" w:type="dxa"/>
              <w:right w:w="100" w:type="dxa"/>
            </w:tcMar>
          </w:tcPr>
          <w:p w14:paraId="1A41F6DF" w14:textId="77777777" w:rsidR="00157FA1" w:rsidRPr="0010483E" w:rsidRDefault="00157FA1">
            <w:pPr>
              <w:spacing w:before="240"/>
            </w:pPr>
            <w:r w:rsidRPr="0010483E">
              <w:t>The responsible nurse who is performing the assessment.</w:t>
            </w:r>
          </w:p>
        </w:tc>
      </w:tr>
      <w:tr w:rsidR="00F100ED" w:rsidRPr="0010483E" w14:paraId="14169CF8" w14:textId="77777777" w:rsidTr="0ACB9ACA">
        <w:trPr>
          <w:trHeight w:val="1290"/>
        </w:trPr>
        <w:tc>
          <w:tcPr>
            <w:tcW w:w="2205" w:type="dxa"/>
            <w:tcBorders>
              <w:top w:val="nil"/>
              <w:left w:val="single" w:sz="6" w:space="0" w:color="000000" w:themeColor="text1"/>
              <w:bottom w:val="single" w:sz="6" w:space="0" w:color="000000" w:themeColor="text1"/>
              <w:right w:val="single" w:sz="6" w:space="0" w:color="000000" w:themeColor="text1"/>
            </w:tcBorders>
            <w:tcMar>
              <w:top w:w="0" w:type="dxa"/>
              <w:left w:w="100" w:type="dxa"/>
              <w:bottom w:w="0" w:type="dxa"/>
              <w:right w:w="100" w:type="dxa"/>
            </w:tcMar>
          </w:tcPr>
          <w:p w14:paraId="2CDC632C" w14:textId="77777777" w:rsidR="00157FA1" w:rsidRPr="0010483E" w:rsidRDefault="00157FA1">
            <w:pPr>
              <w:spacing w:before="240"/>
              <w:rPr>
                <w:b/>
                <w:shd w:val="clear" w:color="auto" w:fill="FFC000"/>
              </w:rPr>
            </w:pPr>
            <w:r w:rsidRPr="0010483E">
              <w:rPr>
                <w:b/>
                <w:shd w:val="clear" w:color="auto" w:fill="FFC000"/>
              </w:rPr>
              <w:t>ORANGE medical alert</w:t>
            </w:r>
          </w:p>
        </w:tc>
        <w:tc>
          <w:tcPr>
            <w:tcW w:w="5355" w:type="dxa"/>
            <w:tcBorders>
              <w:top w:val="nil"/>
              <w:left w:val="nil"/>
              <w:bottom w:val="single" w:sz="6" w:space="0" w:color="000000" w:themeColor="text1"/>
              <w:right w:val="single" w:sz="6" w:space="0" w:color="000000" w:themeColor="text1"/>
            </w:tcBorders>
            <w:tcMar>
              <w:top w:w="0" w:type="dxa"/>
              <w:left w:w="100" w:type="dxa"/>
              <w:bottom w:w="0" w:type="dxa"/>
              <w:right w:w="100" w:type="dxa"/>
            </w:tcMar>
          </w:tcPr>
          <w:p w14:paraId="1DD5508D" w14:textId="0EF244E8" w:rsidR="00157FA1" w:rsidRPr="0010483E" w:rsidRDefault="00157FA1">
            <w:pPr>
              <w:spacing w:before="240"/>
            </w:pPr>
            <w:r>
              <w:t>Asymptomatic patient(s) who are currently healthy but have an increased risk for worse outcomes from a COVID-19</w:t>
            </w:r>
            <w:r w:rsidR="5CBA07CF">
              <w:t>, RSV</w:t>
            </w:r>
            <w:r>
              <w:t xml:space="preserve"> or Influenza infection.</w:t>
            </w:r>
          </w:p>
        </w:tc>
        <w:tc>
          <w:tcPr>
            <w:tcW w:w="2775" w:type="dxa"/>
            <w:tcBorders>
              <w:top w:val="nil"/>
              <w:left w:val="nil"/>
              <w:bottom w:val="single" w:sz="6" w:space="0" w:color="000000" w:themeColor="text1"/>
              <w:right w:val="single" w:sz="6" w:space="0" w:color="000000" w:themeColor="text1"/>
            </w:tcBorders>
            <w:tcMar>
              <w:top w:w="0" w:type="dxa"/>
              <w:left w:w="100" w:type="dxa"/>
              <w:bottom w:w="0" w:type="dxa"/>
              <w:right w:w="100" w:type="dxa"/>
            </w:tcMar>
          </w:tcPr>
          <w:p w14:paraId="1B7FE23A" w14:textId="77777777" w:rsidR="00157FA1" w:rsidRPr="0010483E" w:rsidRDefault="00157FA1">
            <w:pPr>
              <w:spacing w:before="240"/>
            </w:pPr>
            <w:r w:rsidRPr="0010483E">
              <w:t>ITR Intake RN or the responsible nurse who is performing the assessment.</w:t>
            </w:r>
          </w:p>
        </w:tc>
      </w:tr>
      <w:tr w:rsidR="00F100ED" w:rsidRPr="0010483E" w14:paraId="4E3182CE" w14:textId="77777777" w:rsidTr="0ACB9ACA">
        <w:trPr>
          <w:trHeight w:val="825"/>
        </w:trPr>
        <w:tc>
          <w:tcPr>
            <w:tcW w:w="2205" w:type="dxa"/>
            <w:tcBorders>
              <w:top w:val="nil"/>
              <w:left w:val="single" w:sz="6" w:space="0" w:color="000000" w:themeColor="text1"/>
              <w:bottom w:val="single" w:sz="6" w:space="0" w:color="000000" w:themeColor="text1"/>
              <w:right w:val="single" w:sz="6" w:space="0" w:color="000000" w:themeColor="text1"/>
            </w:tcBorders>
            <w:tcMar>
              <w:top w:w="0" w:type="dxa"/>
              <w:left w:w="100" w:type="dxa"/>
              <w:bottom w:w="0" w:type="dxa"/>
              <w:right w:w="100" w:type="dxa"/>
            </w:tcMar>
          </w:tcPr>
          <w:p w14:paraId="42909E06" w14:textId="77777777" w:rsidR="00157FA1" w:rsidRPr="0010483E" w:rsidRDefault="00157FA1">
            <w:pPr>
              <w:spacing w:before="240"/>
              <w:rPr>
                <w:b/>
                <w:highlight w:val="green"/>
              </w:rPr>
            </w:pPr>
            <w:r w:rsidRPr="0010483E">
              <w:rPr>
                <w:b/>
                <w:highlight w:val="green"/>
              </w:rPr>
              <w:t>GREEN medical alert</w:t>
            </w:r>
          </w:p>
        </w:tc>
        <w:tc>
          <w:tcPr>
            <w:tcW w:w="5355" w:type="dxa"/>
            <w:tcBorders>
              <w:top w:val="nil"/>
              <w:left w:val="nil"/>
              <w:bottom w:val="single" w:sz="6" w:space="0" w:color="000000" w:themeColor="text1"/>
              <w:right w:val="single" w:sz="6" w:space="0" w:color="000000" w:themeColor="text1"/>
            </w:tcBorders>
            <w:tcMar>
              <w:top w:w="0" w:type="dxa"/>
              <w:left w:w="100" w:type="dxa"/>
              <w:bottom w:w="0" w:type="dxa"/>
              <w:right w:w="100" w:type="dxa"/>
            </w:tcMar>
          </w:tcPr>
          <w:p w14:paraId="410B3468" w14:textId="77777777" w:rsidR="00157FA1" w:rsidRPr="0010483E" w:rsidRDefault="00157FA1">
            <w:pPr>
              <w:spacing w:before="240"/>
            </w:pPr>
            <w:r w:rsidRPr="0010483E">
              <w:t>Asymptomatic patient(s) who are currently healthy.</w:t>
            </w:r>
          </w:p>
        </w:tc>
        <w:tc>
          <w:tcPr>
            <w:tcW w:w="2775" w:type="dxa"/>
            <w:tcBorders>
              <w:top w:val="nil"/>
              <w:left w:val="nil"/>
              <w:bottom w:val="single" w:sz="6" w:space="0" w:color="000000" w:themeColor="text1"/>
              <w:right w:val="single" w:sz="6" w:space="0" w:color="000000" w:themeColor="text1"/>
            </w:tcBorders>
            <w:tcMar>
              <w:top w:w="0" w:type="dxa"/>
              <w:left w:w="100" w:type="dxa"/>
              <w:bottom w:w="0" w:type="dxa"/>
              <w:right w:w="100" w:type="dxa"/>
            </w:tcMar>
          </w:tcPr>
          <w:p w14:paraId="65E646A8" w14:textId="77777777" w:rsidR="00157FA1" w:rsidRPr="0010483E" w:rsidRDefault="00157FA1">
            <w:pPr>
              <w:spacing w:before="240"/>
            </w:pPr>
            <w:r w:rsidRPr="0010483E">
              <w:t>ITR Intake RN or the responsible nurse who is performing the assessment.</w:t>
            </w:r>
          </w:p>
        </w:tc>
      </w:tr>
    </w:tbl>
    <w:p w14:paraId="5C7408A1" w14:textId="77777777" w:rsidR="00157FA1" w:rsidRPr="0010483E" w:rsidRDefault="00157FA1" w:rsidP="00157FA1">
      <w:pPr>
        <w:spacing w:before="240" w:after="240"/>
      </w:pPr>
      <w:r w:rsidRPr="0010483E">
        <w:rPr>
          <w:b/>
          <w:shd w:val="clear" w:color="auto" w:fill="FFC000"/>
        </w:rPr>
        <w:t>ORANGE medical specifications</w:t>
      </w:r>
      <w:r w:rsidRPr="00AF1077">
        <w:t xml:space="preserve"> (</w:t>
      </w:r>
      <w:r w:rsidRPr="0010483E">
        <w:t>High risk for</w:t>
      </w:r>
      <w:r>
        <w:t xml:space="preserve"> moderate to severe disease when diagnosed with</w:t>
      </w:r>
      <w:r w:rsidRPr="0010483E">
        <w:t xml:space="preserve"> COVID-19 or Influenza infection)</w:t>
      </w:r>
      <w:r w:rsidRPr="0010483E">
        <w:rPr>
          <w:b/>
        </w:rPr>
        <w:t xml:space="preserve">: </w:t>
      </w:r>
    </w:p>
    <w:p w14:paraId="6A7BE2A0" w14:textId="77777777" w:rsidR="00157FA1" w:rsidRPr="0010483E" w:rsidRDefault="00157FA1" w:rsidP="00157FA1">
      <w:pPr>
        <w:numPr>
          <w:ilvl w:val="0"/>
          <w:numId w:val="6"/>
        </w:numPr>
        <w:spacing w:before="240" w:after="0" w:line="276" w:lineRule="auto"/>
      </w:pPr>
      <w:r w:rsidRPr="0010483E">
        <w:t>65 and older</w:t>
      </w:r>
    </w:p>
    <w:p w14:paraId="2DB201AC" w14:textId="77777777" w:rsidR="00157FA1" w:rsidRPr="0010483E" w:rsidRDefault="00157FA1" w:rsidP="00157FA1">
      <w:pPr>
        <w:numPr>
          <w:ilvl w:val="0"/>
          <w:numId w:val="6"/>
        </w:numPr>
        <w:spacing w:after="0" w:line="276" w:lineRule="auto"/>
      </w:pPr>
      <w:r w:rsidRPr="0010483E">
        <w:t>Pregnant</w:t>
      </w:r>
    </w:p>
    <w:p w14:paraId="20F6EC64" w14:textId="77777777" w:rsidR="00157FA1" w:rsidRPr="0010483E" w:rsidRDefault="00157FA1" w:rsidP="00157FA1">
      <w:pPr>
        <w:numPr>
          <w:ilvl w:val="0"/>
          <w:numId w:val="6"/>
        </w:numPr>
        <w:spacing w:after="0" w:line="276" w:lineRule="auto"/>
      </w:pPr>
      <w:r w:rsidRPr="0010483E">
        <w:t>Asthma: Moderate-or-severe asthma who have one or more of the following risk factors for an asthma exacerbation (i.e., hospitalization for asthma in past year)</w:t>
      </w:r>
    </w:p>
    <w:p w14:paraId="3BD7880D" w14:textId="714F135E" w:rsidR="00157FA1" w:rsidRPr="0010483E" w:rsidRDefault="5CFA98D8" w:rsidP="00157FA1">
      <w:pPr>
        <w:numPr>
          <w:ilvl w:val="0"/>
          <w:numId w:val="6"/>
        </w:numPr>
        <w:spacing w:after="0" w:line="276" w:lineRule="auto"/>
      </w:pPr>
      <w:r>
        <w:t>H</w:t>
      </w:r>
      <w:r w:rsidR="00157FA1">
        <w:t>istory of GERD</w:t>
      </w:r>
    </w:p>
    <w:p w14:paraId="568B3EC0" w14:textId="77777777" w:rsidR="00157FA1" w:rsidRPr="0010483E" w:rsidRDefault="00157FA1" w:rsidP="00157FA1">
      <w:pPr>
        <w:numPr>
          <w:ilvl w:val="0"/>
          <w:numId w:val="6"/>
        </w:numPr>
        <w:spacing w:after="0" w:line="276" w:lineRule="auto"/>
      </w:pPr>
      <w:r w:rsidRPr="0010483E">
        <w:t>Severe Obesity (BMI of 40 or above)</w:t>
      </w:r>
    </w:p>
    <w:p w14:paraId="36F33866" w14:textId="77777777" w:rsidR="00157FA1" w:rsidRPr="0010483E" w:rsidRDefault="00157FA1" w:rsidP="00157FA1">
      <w:pPr>
        <w:numPr>
          <w:ilvl w:val="0"/>
          <w:numId w:val="6"/>
        </w:numPr>
        <w:spacing w:after="0" w:line="276" w:lineRule="auto"/>
      </w:pPr>
      <w:r w:rsidRPr="0010483E">
        <w:t>Atopic conditions, such as atopic dermatitis or allergic rhinitis who have a risk for hospitalization for COVID (i.e., aged 50 years or older)</w:t>
      </w:r>
    </w:p>
    <w:p w14:paraId="2BC76311" w14:textId="77777777" w:rsidR="00157FA1" w:rsidRPr="0010483E" w:rsidRDefault="00157FA1" w:rsidP="00157FA1">
      <w:pPr>
        <w:numPr>
          <w:ilvl w:val="0"/>
          <w:numId w:val="6"/>
        </w:numPr>
        <w:spacing w:after="0" w:line="276" w:lineRule="auto"/>
      </w:pPr>
      <w:r w:rsidRPr="0010483E">
        <w:t>Chronic Lung Disease (to include COPD)</w:t>
      </w:r>
    </w:p>
    <w:p w14:paraId="1B305DFE" w14:textId="77777777" w:rsidR="00157FA1" w:rsidRPr="0010483E" w:rsidRDefault="00157FA1" w:rsidP="00157FA1">
      <w:pPr>
        <w:numPr>
          <w:ilvl w:val="0"/>
          <w:numId w:val="6"/>
        </w:numPr>
        <w:spacing w:after="0" w:line="276" w:lineRule="auto"/>
      </w:pPr>
      <w:r w:rsidRPr="0010483E">
        <w:t>Diabetes aged 50 years and older or any diabetic who is insulin dependent or has uncontrolled diabetes</w:t>
      </w:r>
    </w:p>
    <w:p w14:paraId="29929272" w14:textId="77777777" w:rsidR="00157FA1" w:rsidRPr="0010483E" w:rsidRDefault="00157FA1" w:rsidP="00157FA1">
      <w:pPr>
        <w:numPr>
          <w:ilvl w:val="0"/>
          <w:numId w:val="6"/>
        </w:numPr>
        <w:spacing w:after="0" w:line="276" w:lineRule="auto"/>
      </w:pPr>
      <w:r w:rsidRPr="0010483E">
        <w:t>Serious Heart Conditions: heart failure, coronary artery disease, congenital heart disease, cardiomyopathies, and pulmonary hypertension</w:t>
      </w:r>
    </w:p>
    <w:p w14:paraId="7708E997" w14:textId="77777777" w:rsidR="00157FA1" w:rsidRPr="0010483E" w:rsidRDefault="00157FA1" w:rsidP="00157FA1">
      <w:pPr>
        <w:numPr>
          <w:ilvl w:val="0"/>
          <w:numId w:val="6"/>
        </w:numPr>
        <w:spacing w:after="0" w:line="276" w:lineRule="auto"/>
      </w:pPr>
      <w:r w:rsidRPr="0010483E">
        <w:t xml:space="preserve">Chronic Kidney Disease requiring Dialysis (to include all patients on Dialysis), </w:t>
      </w:r>
    </w:p>
    <w:p w14:paraId="04AA8345" w14:textId="2D865561" w:rsidR="00157FA1" w:rsidRDefault="00157FA1" w:rsidP="00157FA1">
      <w:pPr>
        <w:numPr>
          <w:ilvl w:val="0"/>
          <w:numId w:val="6"/>
        </w:numPr>
        <w:spacing w:after="240" w:line="276" w:lineRule="auto"/>
      </w:pPr>
      <w:r>
        <w:t xml:space="preserve">Immunocompromised: patients receiving cancer treatment, organ transplants, immune deficiencies, HIV </w:t>
      </w:r>
      <w:r w:rsidR="00D76CCD">
        <w:t>(</w:t>
      </w:r>
      <w:r>
        <w:t>with low CD4 count</w:t>
      </w:r>
      <w:r w:rsidR="0000684F">
        <w:t xml:space="preserve"> </w:t>
      </w:r>
      <w:r>
        <w:t xml:space="preserve">or not taking any HIV treatment), </w:t>
      </w:r>
      <w:r w:rsidR="006B4908">
        <w:t>l</w:t>
      </w:r>
      <w:r>
        <w:t xml:space="preserve">iver </w:t>
      </w:r>
      <w:r w:rsidR="006B4908">
        <w:t>d</w:t>
      </w:r>
      <w:r>
        <w:t xml:space="preserve">isease (to include </w:t>
      </w:r>
      <w:r>
        <w:lastRenderedPageBreak/>
        <w:t xml:space="preserve">cirrhosis) and </w:t>
      </w:r>
      <w:r w:rsidR="006864C6">
        <w:t>s</w:t>
      </w:r>
      <w:r>
        <w:t xml:space="preserve">ickle </w:t>
      </w:r>
      <w:r w:rsidR="006864C6">
        <w:t>c</w:t>
      </w:r>
      <w:r>
        <w:t xml:space="preserve">ell disease. (For further definition of high-risk vulnerable patients, refer to </w:t>
      </w:r>
      <w:hyperlink r:id="rId11">
        <w:r w:rsidRPr="4574B138">
          <w:rPr>
            <w:color w:val="1155CC"/>
            <w:u w:val="single"/>
          </w:rPr>
          <w:t>CDC guidance</w:t>
        </w:r>
      </w:hyperlink>
      <w:r>
        <w:t>)</w:t>
      </w:r>
    </w:p>
    <w:p w14:paraId="20E7CAD6" w14:textId="0B6A9887" w:rsidR="00157FA1" w:rsidRDefault="00157FA1" w:rsidP="00157FA1">
      <w:pPr>
        <w:numPr>
          <w:ilvl w:val="0"/>
          <w:numId w:val="6"/>
        </w:numPr>
        <w:spacing w:after="240" w:line="276" w:lineRule="auto"/>
      </w:pPr>
      <w:r>
        <w:t>Mood disorders including Bipolar affective disorder, depression, and schizophrenia.</w:t>
      </w:r>
    </w:p>
    <w:p w14:paraId="775D475C" w14:textId="77777777" w:rsidR="00E00B36" w:rsidRDefault="00E00B36" w:rsidP="00E00B36">
      <w:pPr>
        <w:spacing w:after="240" w:line="276" w:lineRule="auto"/>
        <w:jc w:val="center"/>
      </w:pPr>
      <w:r w:rsidRPr="4574B138">
        <w:rPr>
          <w:b/>
          <w:bCs/>
        </w:rPr>
        <w:t>Treatment of Respiratory Viruses</w:t>
      </w:r>
    </w:p>
    <w:p w14:paraId="0C991A46" w14:textId="77777777" w:rsidR="00892787" w:rsidRDefault="00E00B36" w:rsidP="4574B138">
      <w:pPr>
        <w:spacing w:after="240" w:line="276" w:lineRule="auto"/>
      </w:pPr>
      <w:r w:rsidRPr="60637258">
        <w:rPr>
          <w:b/>
          <w:bCs/>
        </w:rPr>
        <w:t xml:space="preserve">Medical Isolation: </w:t>
      </w:r>
      <w:r>
        <w:t xml:space="preserve">Medical Isolation will be initiated for symptomatic individuals </w:t>
      </w:r>
      <w:r w:rsidR="00A35AEE">
        <w:t>who</w:t>
      </w:r>
      <w:r>
        <w:t xml:space="preserve"> test positive for respiratory illness and also for those </w:t>
      </w:r>
      <w:r w:rsidR="00AE2EE4">
        <w:t>symp</w:t>
      </w:r>
      <w:r w:rsidR="00456912">
        <w:t xml:space="preserve">tomatic </w:t>
      </w:r>
      <w:r>
        <w:t xml:space="preserve">individuals </w:t>
      </w:r>
      <w:r w:rsidR="009B56DB">
        <w:t xml:space="preserve">who </w:t>
      </w:r>
      <w:r>
        <w:t xml:space="preserve">refuse to be tested. Medical isolation will continue until the patient is cleared by the clinician. For the patients </w:t>
      </w:r>
      <w:r w:rsidR="009B56DB">
        <w:t>who</w:t>
      </w:r>
      <w:r>
        <w:t xml:space="preserve"> refuse to be tested, the clinician will </w:t>
      </w:r>
      <w:r w:rsidR="0074003A">
        <w:t xml:space="preserve">determine </w:t>
      </w:r>
      <w:r w:rsidR="004F30FA">
        <w:t xml:space="preserve">disposition </w:t>
      </w:r>
      <w:r w:rsidR="652C7684">
        <w:t xml:space="preserve">based </w:t>
      </w:r>
      <w:r>
        <w:t>on the presentation of symptoms and risk factor</w:t>
      </w:r>
      <w:r w:rsidR="004F30FA">
        <w:t>s</w:t>
      </w:r>
      <w:r>
        <w:t xml:space="preserve"> for transmission. For those individuals </w:t>
      </w:r>
      <w:r w:rsidR="004D69EC">
        <w:t>who</w:t>
      </w:r>
      <w:r>
        <w:t xml:space="preserve"> test positive, th</w:t>
      </w:r>
      <w:r w:rsidR="3835EE77">
        <w:t xml:space="preserve">e </w:t>
      </w:r>
      <w:r>
        <w:t xml:space="preserve">clinician will discontinue isolation when a patient has had an improvement of symptoms and is without a fever for a </w:t>
      </w:r>
      <w:r w:rsidR="00C505C7">
        <w:t>24-hour</w:t>
      </w:r>
      <w:r>
        <w:t xml:space="preserve"> period during a time when no fever reducing m</w:t>
      </w:r>
      <w:r w:rsidR="71CEAD2D">
        <w:t>edicine</w:t>
      </w:r>
      <w:r>
        <w:t xml:space="preserve"> is utilized.</w:t>
      </w:r>
      <w:r w:rsidR="00C505C7">
        <w:t xml:space="preserve"> </w:t>
      </w:r>
    </w:p>
    <w:p w14:paraId="5C3A353A" w14:textId="178F19F7" w:rsidR="00E00B36" w:rsidRDefault="00CA657E" w:rsidP="4574B138">
      <w:pPr>
        <w:spacing w:after="240" w:line="276" w:lineRule="auto"/>
      </w:pPr>
      <w:r w:rsidRPr="009D61AF">
        <w:t>If</w:t>
      </w:r>
      <w:r w:rsidR="00C14204" w:rsidRPr="009D61AF">
        <w:t xml:space="preserve"> asymptomatic</w:t>
      </w:r>
      <w:r w:rsidR="00D82905" w:rsidRPr="009D61AF">
        <w:t>, COVID-positive persons</w:t>
      </w:r>
      <w:r w:rsidR="00DF772C" w:rsidRPr="009D61AF">
        <w:t xml:space="preserve"> refuse to wear a mask for 5 days, co</w:t>
      </w:r>
      <w:r w:rsidR="00892787" w:rsidRPr="009D61AF">
        <w:t>n</w:t>
      </w:r>
      <w:r w:rsidR="00DF772C" w:rsidRPr="009D61AF">
        <w:t xml:space="preserve">sideration should be given to </w:t>
      </w:r>
      <w:r w:rsidR="008B5A45" w:rsidRPr="009D61AF">
        <w:t xml:space="preserve">protecting medically-vulnerable </w:t>
      </w:r>
      <w:r w:rsidR="002F63D0" w:rsidRPr="009D61AF">
        <w:t>residents and staff</w:t>
      </w:r>
      <w:r w:rsidR="00D71158" w:rsidRPr="009D61AF">
        <w:t xml:space="preserve"> </w:t>
      </w:r>
      <w:r w:rsidR="001300CC" w:rsidRPr="009D61AF">
        <w:t xml:space="preserve">in that unit </w:t>
      </w:r>
      <w:r w:rsidR="000D08E6" w:rsidRPr="009D61AF">
        <w:t>through</w:t>
      </w:r>
      <w:r w:rsidR="00ED59DB" w:rsidRPr="009D61AF">
        <w:t xml:space="preserve"> strategies such as</w:t>
      </w:r>
      <w:r w:rsidR="00D71158" w:rsidRPr="009D61AF">
        <w:t xml:space="preserve"> offering high-quality mask</w:t>
      </w:r>
      <w:r w:rsidR="00ED59DB" w:rsidRPr="009D61AF">
        <w:t>s.</w:t>
      </w:r>
    </w:p>
    <w:p w14:paraId="7AB42302" w14:textId="459243B8" w:rsidR="00E00B36" w:rsidRDefault="00E00B36" w:rsidP="4574B138">
      <w:pPr>
        <w:spacing w:after="240" w:line="276" w:lineRule="auto"/>
      </w:pPr>
      <w:r w:rsidRPr="60637258">
        <w:rPr>
          <w:b/>
          <w:bCs/>
        </w:rPr>
        <w:t>Monitoring of Patients:</w:t>
      </w:r>
      <w:r w:rsidR="535B2951" w:rsidRPr="60637258">
        <w:rPr>
          <w:b/>
          <w:bCs/>
        </w:rPr>
        <w:t xml:space="preserve"> </w:t>
      </w:r>
      <w:r>
        <w:t xml:space="preserve">Medical isolation patients will be monitored by nursing staff </w:t>
      </w:r>
      <w:r w:rsidR="00C505C7">
        <w:t>twice daily and seen by a clinician once per day until they are cleared from medical isolation.</w:t>
      </w:r>
    </w:p>
    <w:p w14:paraId="0EF09C24" w14:textId="77777777" w:rsidR="00606A09" w:rsidRDefault="00800A8A" w:rsidP="4574B138">
      <w:pPr>
        <w:spacing w:after="240" w:line="276" w:lineRule="auto"/>
        <w:rPr>
          <w:rFonts w:eastAsiaTheme="minorEastAsia"/>
          <w:lang w:val="en"/>
        </w:rPr>
      </w:pPr>
      <w:r w:rsidRPr="4574B138">
        <w:rPr>
          <w:b/>
          <w:bCs/>
        </w:rPr>
        <w:t>Influenza Prop</w:t>
      </w:r>
      <w:r w:rsidR="005536EC" w:rsidRPr="4574B138">
        <w:rPr>
          <w:b/>
          <w:bCs/>
        </w:rPr>
        <w:t>hylaxis</w:t>
      </w:r>
      <w:r w:rsidR="26411448" w:rsidRPr="4574B138">
        <w:rPr>
          <w:b/>
          <w:bCs/>
        </w:rPr>
        <w:t xml:space="preserve">: </w:t>
      </w:r>
      <w:r w:rsidR="4144815E" w:rsidRPr="4574B138">
        <w:rPr>
          <w:rFonts w:eastAsiaTheme="minorEastAsia"/>
          <w:lang w:val="en"/>
        </w:rPr>
        <w:t xml:space="preserve">Wellpath should offer oseltamivir prophylaxis </w:t>
      </w:r>
      <w:r w:rsidR="1DD7FA03" w:rsidRPr="4574B138">
        <w:rPr>
          <w:rFonts w:eastAsiaTheme="minorEastAsia"/>
          <w:b/>
          <w:bCs/>
          <w:lang w:val="en"/>
        </w:rPr>
        <w:t>within 48 hours of last exposure</w:t>
      </w:r>
      <w:r w:rsidR="1DD7FA03" w:rsidRPr="4574B138">
        <w:rPr>
          <w:rFonts w:eastAsiaTheme="minorEastAsia"/>
          <w:lang w:val="en"/>
        </w:rPr>
        <w:t xml:space="preserve"> </w:t>
      </w:r>
      <w:r w:rsidR="4144815E" w:rsidRPr="4574B138">
        <w:rPr>
          <w:rFonts w:eastAsiaTheme="minorEastAsia"/>
          <w:lang w:val="en"/>
        </w:rPr>
        <w:t>to all inmates who reside in an affected dormitory housing unit, or identified direct close contacts in two-person cell housing units (specifically the cell mate) when the following criteria have been met:</w:t>
      </w:r>
      <w:r w:rsidR="00606A09">
        <w:rPr>
          <w:rFonts w:eastAsiaTheme="minorEastAsia"/>
          <w:lang w:val="en"/>
        </w:rPr>
        <w:t xml:space="preserve"> </w:t>
      </w:r>
    </w:p>
    <w:p w14:paraId="25A85C30" w14:textId="5DF7DB36" w:rsidR="4574B138" w:rsidRPr="006B26A8" w:rsidRDefault="00606A09" w:rsidP="0ACB9ACA">
      <w:pPr>
        <w:pStyle w:val="ListParagraph"/>
        <w:numPr>
          <w:ilvl w:val="0"/>
          <w:numId w:val="8"/>
        </w:numPr>
        <w:spacing w:after="240" w:line="276" w:lineRule="auto"/>
        <w:rPr>
          <w:rFonts w:eastAsiaTheme="minorEastAsia"/>
          <w:lang w:val="en"/>
        </w:rPr>
      </w:pPr>
      <w:r w:rsidRPr="006B26A8">
        <w:rPr>
          <w:rFonts w:eastAsiaTheme="minorEastAsia"/>
        </w:rPr>
        <w:t>≥1 case of laboratory-confirmed influenza in the setting of a cluster (≥2 cases) of influenza-like illness (i.e. fever plus cough and/or sore throat, in the absence of a known cause other than influenza) within a 72-hour period.</w:t>
      </w:r>
      <w:r w:rsidRPr="006B26A8">
        <w:rPr>
          <w:rFonts w:eastAsiaTheme="minorEastAsia"/>
          <w:lang w:val="en"/>
        </w:rPr>
        <w:t xml:space="preserve"> </w:t>
      </w:r>
    </w:p>
    <w:p w14:paraId="2E90D4E9" w14:textId="0A008D63" w:rsidR="000A7F2A" w:rsidRPr="000A7F2A" w:rsidRDefault="00F5422D" w:rsidP="4574B138">
      <w:pPr>
        <w:spacing w:after="240" w:line="276" w:lineRule="auto"/>
      </w:pPr>
      <w:r w:rsidRPr="4574B138">
        <w:rPr>
          <w:b/>
          <w:bCs/>
        </w:rPr>
        <w:t xml:space="preserve">Antiviral Treatment for the Incarcerated Person: </w:t>
      </w:r>
      <w:r>
        <w:t xml:space="preserve">Treatment is a core strategy to reduce the risk for adverse outcomes from respiratory virus </w:t>
      </w:r>
      <w:r w:rsidR="003405AF">
        <w:t>infection</w:t>
      </w:r>
      <w:r w:rsidR="0053365A">
        <w:t>s</w:t>
      </w:r>
      <w:r w:rsidR="003405AF">
        <w:t xml:space="preserve"> in </w:t>
      </w:r>
      <w:r>
        <w:t>vulnerable populations. Antiviral treatment should be accessible to the patient</w:t>
      </w:r>
      <w:r w:rsidR="0C1679E3">
        <w:t>s testing positive for</w:t>
      </w:r>
      <w:r>
        <w:t xml:space="preserve"> </w:t>
      </w:r>
      <w:r w:rsidR="00BC671C">
        <w:t xml:space="preserve">COVID-19 </w:t>
      </w:r>
      <w:r w:rsidR="0E87407C">
        <w:t>or</w:t>
      </w:r>
      <w:r w:rsidR="00BC671C">
        <w:t xml:space="preserve"> flu</w:t>
      </w:r>
      <w:r>
        <w:t xml:space="preserve">. Treatment should follow the course recommended by CDC beginning during the recommended time period as close to the known infection date as possible. </w:t>
      </w:r>
    </w:p>
    <w:sectPr w:rsidR="000A7F2A" w:rsidRPr="000A7F2A">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C3240" w14:textId="77777777" w:rsidR="00547182" w:rsidRDefault="00547182" w:rsidP="009D675D">
      <w:pPr>
        <w:spacing w:after="0" w:line="240" w:lineRule="auto"/>
      </w:pPr>
      <w:r>
        <w:separator/>
      </w:r>
    </w:p>
  </w:endnote>
  <w:endnote w:type="continuationSeparator" w:id="0">
    <w:p w14:paraId="427AEE4D" w14:textId="77777777" w:rsidR="00547182" w:rsidRDefault="00547182" w:rsidP="009D67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5822485"/>
      <w:docPartObj>
        <w:docPartGallery w:val="Page Numbers (Bottom of Page)"/>
        <w:docPartUnique/>
      </w:docPartObj>
    </w:sdtPr>
    <w:sdtEndPr>
      <w:rPr>
        <w:noProof/>
      </w:rPr>
    </w:sdtEndPr>
    <w:sdtContent>
      <w:p w14:paraId="39B0F1DD" w14:textId="3EF37878" w:rsidR="009D675D" w:rsidRDefault="009D675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135ECDD" w14:textId="77777777" w:rsidR="009D675D" w:rsidRDefault="009D67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6B4DC" w14:textId="77777777" w:rsidR="00547182" w:rsidRDefault="00547182" w:rsidP="009D675D">
      <w:pPr>
        <w:spacing w:after="0" w:line="240" w:lineRule="auto"/>
      </w:pPr>
      <w:r>
        <w:separator/>
      </w:r>
    </w:p>
  </w:footnote>
  <w:footnote w:type="continuationSeparator" w:id="0">
    <w:p w14:paraId="66094021" w14:textId="77777777" w:rsidR="00547182" w:rsidRDefault="00547182" w:rsidP="009D67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443EA"/>
    <w:multiLevelType w:val="hybridMultilevel"/>
    <w:tmpl w:val="3A2E69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45957FD"/>
    <w:multiLevelType w:val="multilevel"/>
    <w:tmpl w:val="853E24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2EACC2F"/>
    <w:multiLevelType w:val="hybridMultilevel"/>
    <w:tmpl w:val="C5840D9E"/>
    <w:lvl w:ilvl="0" w:tplc="B72C96D8">
      <w:start w:val="1"/>
      <w:numFmt w:val="decimal"/>
      <w:lvlText w:val="%1."/>
      <w:lvlJc w:val="left"/>
      <w:pPr>
        <w:ind w:left="360" w:hanging="360"/>
      </w:pPr>
    </w:lvl>
    <w:lvl w:ilvl="1" w:tplc="8AAC67D2">
      <w:start w:val="1"/>
      <w:numFmt w:val="lowerLetter"/>
      <w:lvlText w:val="%2."/>
      <w:lvlJc w:val="left"/>
      <w:pPr>
        <w:ind w:left="1080" w:hanging="360"/>
      </w:pPr>
    </w:lvl>
    <w:lvl w:ilvl="2" w:tplc="7878F92A">
      <w:start w:val="1"/>
      <w:numFmt w:val="lowerRoman"/>
      <w:lvlText w:val="%3."/>
      <w:lvlJc w:val="right"/>
      <w:pPr>
        <w:ind w:left="1800" w:hanging="180"/>
      </w:pPr>
    </w:lvl>
    <w:lvl w:ilvl="3" w:tplc="8A905FFA">
      <w:start w:val="1"/>
      <w:numFmt w:val="decimal"/>
      <w:lvlText w:val="%4."/>
      <w:lvlJc w:val="left"/>
      <w:pPr>
        <w:ind w:left="2520" w:hanging="360"/>
      </w:pPr>
    </w:lvl>
    <w:lvl w:ilvl="4" w:tplc="4D401564">
      <w:start w:val="1"/>
      <w:numFmt w:val="lowerLetter"/>
      <w:lvlText w:val="%5."/>
      <w:lvlJc w:val="left"/>
      <w:pPr>
        <w:ind w:left="3240" w:hanging="360"/>
      </w:pPr>
    </w:lvl>
    <w:lvl w:ilvl="5" w:tplc="25C68246">
      <w:start w:val="1"/>
      <w:numFmt w:val="lowerRoman"/>
      <w:lvlText w:val="%6."/>
      <w:lvlJc w:val="right"/>
      <w:pPr>
        <w:ind w:left="3960" w:hanging="180"/>
      </w:pPr>
    </w:lvl>
    <w:lvl w:ilvl="6" w:tplc="3538FAA0">
      <w:start w:val="1"/>
      <w:numFmt w:val="decimal"/>
      <w:lvlText w:val="%7."/>
      <w:lvlJc w:val="left"/>
      <w:pPr>
        <w:ind w:left="4680" w:hanging="360"/>
      </w:pPr>
    </w:lvl>
    <w:lvl w:ilvl="7" w:tplc="6636B530">
      <w:start w:val="1"/>
      <w:numFmt w:val="lowerLetter"/>
      <w:lvlText w:val="%8."/>
      <w:lvlJc w:val="left"/>
      <w:pPr>
        <w:ind w:left="5400" w:hanging="360"/>
      </w:pPr>
    </w:lvl>
    <w:lvl w:ilvl="8" w:tplc="839A5182">
      <w:start w:val="1"/>
      <w:numFmt w:val="lowerRoman"/>
      <w:lvlText w:val="%9."/>
      <w:lvlJc w:val="right"/>
      <w:pPr>
        <w:ind w:left="6120" w:hanging="180"/>
      </w:pPr>
    </w:lvl>
  </w:abstractNum>
  <w:abstractNum w:abstractNumId="3" w15:restartNumberingAfterBreak="0">
    <w:nsid w:val="28C7E955"/>
    <w:multiLevelType w:val="hybridMultilevel"/>
    <w:tmpl w:val="FFFFFFFF"/>
    <w:lvl w:ilvl="0" w:tplc="3EB2A03E">
      <w:start w:val="1"/>
      <w:numFmt w:val="bullet"/>
      <w:lvlText w:val=""/>
      <w:lvlJc w:val="left"/>
      <w:pPr>
        <w:ind w:left="720" w:hanging="360"/>
      </w:pPr>
      <w:rPr>
        <w:rFonts w:ascii="Symbol" w:hAnsi="Symbol" w:hint="default"/>
      </w:rPr>
    </w:lvl>
    <w:lvl w:ilvl="1" w:tplc="D7BC003A">
      <w:start w:val="1"/>
      <w:numFmt w:val="bullet"/>
      <w:lvlText w:val="o"/>
      <w:lvlJc w:val="left"/>
      <w:pPr>
        <w:ind w:left="1440" w:hanging="360"/>
      </w:pPr>
      <w:rPr>
        <w:rFonts w:ascii="Courier New" w:hAnsi="Courier New" w:hint="default"/>
      </w:rPr>
    </w:lvl>
    <w:lvl w:ilvl="2" w:tplc="FA423BEE">
      <w:start w:val="1"/>
      <w:numFmt w:val="bullet"/>
      <w:lvlText w:val=""/>
      <w:lvlJc w:val="left"/>
      <w:pPr>
        <w:ind w:left="2160" w:hanging="360"/>
      </w:pPr>
      <w:rPr>
        <w:rFonts w:ascii="Wingdings" w:hAnsi="Wingdings" w:hint="default"/>
      </w:rPr>
    </w:lvl>
    <w:lvl w:ilvl="3" w:tplc="86062418">
      <w:start w:val="1"/>
      <w:numFmt w:val="bullet"/>
      <w:lvlText w:val=""/>
      <w:lvlJc w:val="left"/>
      <w:pPr>
        <w:ind w:left="2880" w:hanging="360"/>
      </w:pPr>
      <w:rPr>
        <w:rFonts w:ascii="Symbol" w:hAnsi="Symbol" w:hint="default"/>
      </w:rPr>
    </w:lvl>
    <w:lvl w:ilvl="4" w:tplc="2A185170">
      <w:start w:val="1"/>
      <w:numFmt w:val="bullet"/>
      <w:lvlText w:val="o"/>
      <w:lvlJc w:val="left"/>
      <w:pPr>
        <w:ind w:left="3600" w:hanging="360"/>
      </w:pPr>
      <w:rPr>
        <w:rFonts w:ascii="Courier New" w:hAnsi="Courier New" w:hint="default"/>
      </w:rPr>
    </w:lvl>
    <w:lvl w:ilvl="5" w:tplc="B122E5E8">
      <w:start w:val="1"/>
      <w:numFmt w:val="bullet"/>
      <w:lvlText w:val=""/>
      <w:lvlJc w:val="left"/>
      <w:pPr>
        <w:ind w:left="4320" w:hanging="360"/>
      </w:pPr>
      <w:rPr>
        <w:rFonts w:ascii="Wingdings" w:hAnsi="Wingdings" w:hint="default"/>
      </w:rPr>
    </w:lvl>
    <w:lvl w:ilvl="6" w:tplc="B1E658BE">
      <w:start w:val="1"/>
      <w:numFmt w:val="bullet"/>
      <w:lvlText w:val=""/>
      <w:lvlJc w:val="left"/>
      <w:pPr>
        <w:ind w:left="5040" w:hanging="360"/>
      </w:pPr>
      <w:rPr>
        <w:rFonts w:ascii="Symbol" w:hAnsi="Symbol" w:hint="default"/>
      </w:rPr>
    </w:lvl>
    <w:lvl w:ilvl="7" w:tplc="E53482E8">
      <w:start w:val="1"/>
      <w:numFmt w:val="bullet"/>
      <w:lvlText w:val="o"/>
      <w:lvlJc w:val="left"/>
      <w:pPr>
        <w:ind w:left="5760" w:hanging="360"/>
      </w:pPr>
      <w:rPr>
        <w:rFonts w:ascii="Courier New" w:hAnsi="Courier New" w:hint="default"/>
      </w:rPr>
    </w:lvl>
    <w:lvl w:ilvl="8" w:tplc="66ECF5A8">
      <w:start w:val="1"/>
      <w:numFmt w:val="bullet"/>
      <w:lvlText w:val=""/>
      <w:lvlJc w:val="left"/>
      <w:pPr>
        <w:ind w:left="6480" w:hanging="360"/>
      </w:pPr>
      <w:rPr>
        <w:rFonts w:ascii="Wingdings" w:hAnsi="Wingdings" w:hint="default"/>
      </w:rPr>
    </w:lvl>
  </w:abstractNum>
  <w:abstractNum w:abstractNumId="4" w15:restartNumberingAfterBreak="0">
    <w:nsid w:val="2A197DF5"/>
    <w:multiLevelType w:val="hybridMultilevel"/>
    <w:tmpl w:val="4530B4D6"/>
    <w:lvl w:ilvl="0" w:tplc="2146C2E4">
      <w:start w:val="1"/>
      <w:numFmt w:val="bullet"/>
      <w:lvlText w:val="o"/>
      <w:lvlJc w:val="left"/>
      <w:pPr>
        <w:ind w:left="2880" w:hanging="360"/>
      </w:pPr>
      <w:rPr>
        <w:rFonts w:ascii="Courier New" w:hAnsi="Courier New" w:hint="default"/>
      </w:rPr>
    </w:lvl>
    <w:lvl w:ilvl="1" w:tplc="1F263D42">
      <w:start w:val="1"/>
      <w:numFmt w:val="lowerLetter"/>
      <w:lvlText w:val="%2."/>
      <w:lvlJc w:val="left"/>
      <w:pPr>
        <w:ind w:left="3600" w:hanging="360"/>
      </w:pPr>
    </w:lvl>
    <w:lvl w:ilvl="2" w:tplc="778A714A">
      <w:start w:val="1"/>
      <w:numFmt w:val="lowerRoman"/>
      <w:lvlText w:val="%3."/>
      <w:lvlJc w:val="right"/>
      <w:pPr>
        <w:ind w:left="4320" w:hanging="180"/>
      </w:pPr>
    </w:lvl>
    <w:lvl w:ilvl="3" w:tplc="C046BB1A">
      <w:start w:val="1"/>
      <w:numFmt w:val="decimal"/>
      <w:lvlText w:val="%4."/>
      <w:lvlJc w:val="left"/>
      <w:pPr>
        <w:ind w:left="5040" w:hanging="360"/>
      </w:pPr>
    </w:lvl>
    <w:lvl w:ilvl="4" w:tplc="5136EEE4">
      <w:start w:val="1"/>
      <w:numFmt w:val="lowerLetter"/>
      <w:lvlText w:val="%5."/>
      <w:lvlJc w:val="left"/>
      <w:pPr>
        <w:ind w:left="5760" w:hanging="360"/>
      </w:pPr>
    </w:lvl>
    <w:lvl w:ilvl="5" w:tplc="1EC61894">
      <w:start w:val="1"/>
      <w:numFmt w:val="lowerRoman"/>
      <w:lvlText w:val="%6."/>
      <w:lvlJc w:val="right"/>
      <w:pPr>
        <w:ind w:left="6480" w:hanging="180"/>
      </w:pPr>
    </w:lvl>
    <w:lvl w:ilvl="6" w:tplc="3C504200">
      <w:start w:val="1"/>
      <w:numFmt w:val="decimal"/>
      <w:lvlText w:val="%7."/>
      <w:lvlJc w:val="left"/>
      <w:pPr>
        <w:ind w:left="7200" w:hanging="360"/>
      </w:pPr>
    </w:lvl>
    <w:lvl w:ilvl="7" w:tplc="63F0888A">
      <w:start w:val="1"/>
      <w:numFmt w:val="lowerLetter"/>
      <w:lvlText w:val="%8."/>
      <w:lvlJc w:val="left"/>
      <w:pPr>
        <w:ind w:left="7920" w:hanging="360"/>
      </w:pPr>
    </w:lvl>
    <w:lvl w:ilvl="8" w:tplc="860E3DA4">
      <w:start w:val="1"/>
      <w:numFmt w:val="lowerRoman"/>
      <w:lvlText w:val="%9."/>
      <w:lvlJc w:val="right"/>
      <w:pPr>
        <w:ind w:left="8640" w:hanging="180"/>
      </w:pPr>
    </w:lvl>
  </w:abstractNum>
  <w:abstractNum w:abstractNumId="5" w15:restartNumberingAfterBreak="0">
    <w:nsid w:val="3CED0B15"/>
    <w:multiLevelType w:val="multilevel"/>
    <w:tmpl w:val="9328D7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7BF3434"/>
    <w:multiLevelType w:val="hybridMultilevel"/>
    <w:tmpl w:val="FDCE8CF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 w15:restartNumberingAfterBreak="0">
    <w:nsid w:val="53C5C52C"/>
    <w:multiLevelType w:val="hybridMultilevel"/>
    <w:tmpl w:val="4E7AEE3A"/>
    <w:lvl w:ilvl="0" w:tplc="CD5A823C">
      <w:start w:val="1"/>
      <w:numFmt w:val="bullet"/>
      <w:lvlText w:val=""/>
      <w:lvlJc w:val="left"/>
      <w:pPr>
        <w:ind w:left="2160" w:hanging="360"/>
      </w:pPr>
      <w:rPr>
        <w:rFonts w:ascii="Symbol" w:hAnsi="Symbol" w:hint="default"/>
      </w:rPr>
    </w:lvl>
    <w:lvl w:ilvl="1" w:tplc="A5AEA938">
      <w:start w:val="1"/>
      <w:numFmt w:val="lowerLetter"/>
      <w:lvlText w:val="%2."/>
      <w:lvlJc w:val="left"/>
      <w:pPr>
        <w:ind w:left="2880" w:hanging="360"/>
      </w:pPr>
    </w:lvl>
    <w:lvl w:ilvl="2" w:tplc="7CFAF702">
      <w:start w:val="1"/>
      <w:numFmt w:val="lowerRoman"/>
      <w:lvlText w:val="%3."/>
      <w:lvlJc w:val="right"/>
      <w:pPr>
        <w:ind w:left="3600" w:hanging="180"/>
      </w:pPr>
    </w:lvl>
    <w:lvl w:ilvl="3" w:tplc="C7CA1516">
      <w:start w:val="1"/>
      <w:numFmt w:val="decimal"/>
      <w:lvlText w:val="%4."/>
      <w:lvlJc w:val="left"/>
      <w:pPr>
        <w:ind w:left="4320" w:hanging="360"/>
      </w:pPr>
    </w:lvl>
    <w:lvl w:ilvl="4" w:tplc="2C38C9BC">
      <w:start w:val="1"/>
      <w:numFmt w:val="lowerLetter"/>
      <w:lvlText w:val="%5."/>
      <w:lvlJc w:val="left"/>
      <w:pPr>
        <w:ind w:left="5040" w:hanging="360"/>
      </w:pPr>
    </w:lvl>
    <w:lvl w:ilvl="5" w:tplc="E3CA37F0">
      <w:start w:val="1"/>
      <w:numFmt w:val="lowerRoman"/>
      <w:lvlText w:val="%6."/>
      <w:lvlJc w:val="right"/>
      <w:pPr>
        <w:ind w:left="5760" w:hanging="180"/>
      </w:pPr>
    </w:lvl>
    <w:lvl w:ilvl="6" w:tplc="58784AC0">
      <w:start w:val="1"/>
      <w:numFmt w:val="decimal"/>
      <w:lvlText w:val="%7."/>
      <w:lvlJc w:val="left"/>
      <w:pPr>
        <w:ind w:left="6480" w:hanging="360"/>
      </w:pPr>
    </w:lvl>
    <w:lvl w:ilvl="7" w:tplc="368AD348">
      <w:start w:val="1"/>
      <w:numFmt w:val="lowerLetter"/>
      <w:lvlText w:val="%8."/>
      <w:lvlJc w:val="left"/>
      <w:pPr>
        <w:ind w:left="7200" w:hanging="360"/>
      </w:pPr>
    </w:lvl>
    <w:lvl w:ilvl="8" w:tplc="1D768914">
      <w:start w:val="1"/>
      <w:numFmt w:val="lowerRoman"/>
      <w:lvlText w:val="%9."/>
      <w:lvlJc w:val="right"/>
      <w:pPr>
        <w:ind w:left="7920" w:hanging="180"/>
      </w:pPr>
    </w:lvl>
  </w:abstractNum>
  <w:abstractNum w:abstractNumId="8" w15:restartNumberingAfterBreak="0">
    <w:nsid w:val="6FC32C88"/>
    <w:multiLevelType w:val="hybridMultilevel"/>
    <w:tmpl w:val="2F985082"/>
    <w:lvl w:ilvl="0" w:tplc="F802E606">
      <w:start w:val="1"/>
      <w:numFmt w:val="decimal"/>
      <w:lvlText w:val="%1."/>
      <w:lvlJc w:val="left"/>
      <w:pPr>
        <w:ind w:left="720" w:hanging="360"/>
      </w:pPr>
    </w:lvl>
    <w:lvl w:ilvl="1" w:tplc="04CED56C">
      <w:start w:val="1"/>
      <w:numFmt w:val="lowerLetter"/>
      <w:lvlText w:val="%2."/>
      <w:lvlJc w:val="left"/>
      <w:pPr>
        <w:ind w:left="1440" w:hanging="360"/>
      </w:pPr>
    </w:lvl>
    <w:lvl w:ilvl="2" w:tplc="4F42F664">
      <w:start w:val="1"/>
      <w:numFmt w:val="lowerRoman"/>
      <w:lvlText w:val="%3."/>
      <w:lvlJc w:val="right"/>
      <w:pPr>
        <w:ind w:left="2160" w:hanging="180"/>
      </w:pPr>
    </w:lvl>
    <w:lvl w:ilvl="3" w:tplc="E5268D6A">
      <w:start w:val="1"/>
      <w:numFmt w:val="decimal"/>
      <w:lvlText w:val="%4."/>
      <w:lvlJc w:val="left"/>
      <w:pPr>
        <w:ind w:left="2880" w:hanging="360"/>
      </w:pPr>
    </w:lvl>
    <w:lvl w:ilvl="4" w:tplc="B5422FB8">
      <w:start w:val="1"/>
      <w:numFmt w:val="lowerLetter"/>
      <w:lvlText w:val="%5."/>
      <w:lvlJc w:val="left"/>
      <w:pPr>
        <w:ind w:left="3600" w:hanging="360"/>
      </w:pPr>
    </w:lvl>
    <w:lvl w:ilvl="5" w:tplc="0CEE7276">
      <w:start w:val="1"/>
      <w:numFmt w:val="lowerRoman"/>
      <w:lvlText w:val="%6."/>
      <w:lvlJc w:val="right"/>
      <w:pPr>
        <w:ind w:left="4320" w:hanging="180"/>
      </w:pPr>
    </w:lvl>
    <w:lvl w:ilvl="6" w:tplc="A7EEF2BA">
      <w:start w:val="1"/>
      <w:numFmt w:val="decimal"/>
      <w:lvlText w:val="%7."/>
      <w:lvlJc w:val="left"/>
      <w:pPr>
        <w:ind w:left="5040" w:hanging="360"/>
      </w:pPr>
    </w:lvl>
    <w:lvl w:ilvl="7" w:tplc="9028BBD2">
      <w:start w:val="1"/>
      <w:numFmt w:val="lowerLetter"/>
      <w:lvlText w:val="%8."/>
      <w:lvlJc w:val="left"/>
      <w:pPr>
        <w:ind w:left="5760" w:hanging="360"/>
      </w:pPr>
    </w:lvl>
    <w:lvl w:ilvl="8" w:tplc="EF089008">
      <w:start w:val="1"/>
      <w:numFmt w:val="lowerRoman"/>
      <w:lvlText w:val="%9."/>
      <w:lvlJc w:val="right"/>
      <w:pPr>
        <w:ind w:left="6480" w:hanging="180"/>
      </w:pPr>
    </w:lvl>
  </w:abstractNum>
  <w:num w:numId="1">
    <w:abstractNumId w:val="2"/>
  </w:num>
  <w:num w:numId="2">
    <w:abstractNumId w:val="4"/>
  </w:num>
  <w:num w:numId="3">
    <w:abstractNumId w:val="7"/>
  </w:num>
  <w:num w:numId="4">
    <w:abstractNumId w:val="8"/>
  </w:num>
  <w:num w:numId="5">
    <w:abstractNumId w:val="1"/>
  </w:num>
  <w:num w:numId="6">
    <w:abstractNumId w:val="5"/>
  </w:num>
  <w:num w:numId="7">
    <w:abstractNumId w:val="6"/>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697"/>
    <w:rsid w:val="00004535"/>
    <w:rsid w:val="0000684F"/>
    <w:rsid w:val="000148DF"/>
    <w:rsid w:val="00014CE6"/>
    <w:rsid w:val="00040D9B"/>
    <w:rsid w:val="00046274"/>
    <w:rsid w:val="00051257"/>
    <w:rsid w:val="0006634E"/>
    <w:rsid w:val="00085906"/>
    <w:rsid w:val="000A2B56"/>
    <w:rsid w:val="000A7F2A"/>
    <w:rsid w:val="000B3146"/>
    <w:rsid w:val="000B6C4E"/>
    <w:rsid w:val="000C14D7"/>
    <w:rsid w:val="000C2E67"/>
    <w:rsid w:val="000D08E6"/>
    <w:rsid w:val="000E6502"/>
    <w:rsid w:val="000E78A6"/>
    <w:rsid w:val="000F082E"/>
    <w:rsid w:val="000F1BBC"/>
    <w:rsid w:val="00100228"/>
    <w:rsid w:val="00126E9D"/>
    <w:rsid w:val="001300CC"/>
    <w:rsid w:val="00134ADA"/>
    <w:rsid w:val="0015608A"/>
    <w:rsid w:val="00157FA1"/>
    <w:rsid w:val="0016320D"/>
    <w:rsid w:val="00163716"/>
    <w:rsid w:val="00173C29"/>
    <w:rsid w:val="00175369"/>
    <w:rsid w:val="00177E40"/>
    <w:rsid w:val="00187A65"/>
    <w:rsid w:val="00191BB5"/>
    <w:rsid w:val="00193451"/>
    <w:rsid w:val="00195E13"/>
    <w:rsid w:val="001B3474"/>
    <w:rsid w:val="001B50D8"/>
    <w:rsid w:val="001C5BC8"/>
    <w:rsid w:val="00207A9C"/>
    <w:rsid w:val="00224AEB"/>
    <w:rsid w:val="002276E2"/>
    <w:rsid w:val="00227760"/>
    <w:rsid w:val="00241C97"/>
    <w:rsid w:val="00246467"/>
    <w:rsid w:val="00252ADD"/>
    <w:rsid w:val="00260209"/>
    <w:rsid w:val="00263FCC"/>
    <w:rsid w:val="00265985"/>
    <w:rsid w:val="00283135"/>
    <w:rsid w:val="00283714"/>
    <w:rsid w:val="002874EE"/>
    <w:rsid w:val="00295B30"/>
    <w:rsid w:val="002A69EA"/>
    <w:rsid w:val="002C619B"/>
    <w:rsid w:val="002F63D0"/>
    <w:rsid w:val="0030043A"/>
    <w:rsid w:val="003049C8"/>
    <w:rsid w:val="00314B54"/>
    <w:rsid w:val="00323EAC"/>
    <w:rsid w:val="003405AF"/>
    <w:rsid w:val="003463D6"/>
    <w:rsid w:val="00350B57"/>
    <w:rsid w:val="0036382F"/>
    <w:rsid w:val="0039679B"/>
    <w:rsid w:val="003B2591"/>
    <w:rsid w:val="003D1B2B"/>
    <w:rsid w:val="003E67DE"/>
    <w:rsid w:val="003F0CD9"/>
    <w:rsid w:val="003F5762"/>
    <w:rsid w:val="00411545"/>
    <w:rsid w:val="00414635"/>
    <w:rsid w:val="00415FC2"/>
    <w:rsid w:val="00421825"/>
    <w:rsid w:val="00425D13"/>
    <w:rsid w:val="00430824"/>
    <w:rsid w:val="00437750"/>
    <w:rsid w:val="00437B25"/>
    <w:rsid w:val="00443ADC"/>
    <w:rsid w:val="00444264"/>
    <w:rsid w:val="00452AE6"/>
    <w:rsid w:val="00455E35"/>
    <w:rsid w:val="004568EF"/>
    <w:rsid w:val="00456912"/>
    <w:rsid w:val="00463735"/>
    <w:rsid w:val="00464F8B"/>
    <w:rsid w:val="004B33B9"/>
    <w:rsid w:val="004D04DD"/>
    <w:rsid w:val="004D1DAD"/>
    <w:rsid w:val="004D4BCC"/>
    <w:rsid w:val="004D69EC"/>
    <w:rsid w:val="004F1697"/>
    <w:rsid w:val="004F30FA"/>
    <w:rsid w:val="004F398A"/>
    <w:rsid w:val="005016C5"/>
    <w:rsid w:val="0053365A"/>
    <w:rsid w:val="00547182"/>
    <w:rsid w:val="005536EC"/>
    <w:rsid w:val="0056151B"/>
    <w:rsid w:val="005742DB"/>
    <w:rsid w:val="00575410"/>
    <w:rsid w:val="00587577"/>
    <w:rsid w:val="00597D44"/>
    <w:rsid w:val="005A11E7"/>
    <w:rsid w:val="005A3092"/>
    <w:rsid w:val="005B1AA3"/>
    <w:rsid w:val="005B5025"/>
    <w:rsid w:val="005B5935"/>
    <w:rsid w:val="005C19C6"/>
    <w:rsid w:val="005C27F5"/>
    <w:rsid w:val="005D7C6B"/>
    <w:rsid w:val="00606A09"/>
    <w:rsid w:val="00614411"/>
    <w:rsid w:val="00617A3A"/>
    <w:rsid w:val="006409BC"/>
    <w:rsid w:val="00640A98"/>
    <w:rsid w:val="00657738"/>
    <w:rsid w:val="00665874"/>
    <w:rsid w:val="00671365"/>
    <w:rsid w:val="0068511F"/>
    <w:rsid w:val="006864C6"/>
    <w:rsid w:val="006A0758"/>
    <w:rsid w:val="006B1BBE"/>
    <w:rsid w:val="006B1FBF"/>
    <w:rsid w:val="006B26A8"/>
    <w:rsid w:val="006B4908"/>
    <w:rsid w:val="006B4910"/>
    <w:rsid w:val="006B4E3C"/>
    <w:rsid w:val="006B7222"/>
    <w:rsid w:val="006D7290"/>
    <w:rsid w:val="006E2931"/>
    <w:rsid w:val="00703A88"/>
    <w:rsid w:val="00706B9D"/>
    <w:rsid w:val="00707448"/>
    <w:rsid w:val="007226B0"/>
    <w:rsid w:val="00726FB0"/>
    <w:rsid w:val="0074003A"/>
    <w:rsid w:val="00752E65"/>
    <w:rsid w:val="007600ED"/>
    <w:rsid w:val="00760550"/>
    <w:rsid w:val="00767434"/>
    <w:rsid w:val="00777FD7"/>
    <w:rsid w:val="00794BA7"/>
    <w:rsid w:val="00795030"/>
    <w:rsid w:val="007A15CD"/>
    <w:rsid w:val="007A2610"/>
    <w:rsid w:val="007B2969"/>
    <w:rsid w:val="007D0024"/>
    <w:rsid w:val="007D7DDB"/>
    <w:rsid w:val="007E1DC9"/>
    <w:rsid w:val="007E3BEC"/>
    <w:rsid w:val="007F098C"/>
    <w:rsid w:val="00800A8A"/>
    <w:rsid w:val="00801950"/>
    <w:rsid w:val="008119A7"/>
    <w:rsid w:val="00814E70"/>
    <w:rsid w:val="00844050"/>
    <w:rsid w:val="0086798C"/>
    <w:rsid w:val="008757F5"/>
    <w:rsid w:val="00892787"/>
    <w:rsid w:val="008A0EBC"/>
    <w:rsid w:val="008A175B"/>
    <w:rsid w:val="008A58EF"/>
    <w:rsid w:val="008A744B"/>
    <w:rsid w:val="008B4BD1"/>
    <w:rsid w:val="008B5A45"/>
    <w:rsid w:val="008C6962"/>
    <w:rsid w:val="008D69B0"/>
    <w:rsid w:val="008E1368"/>
    <w:rsid w:val="00907A23"/>
    <w:rsid w:val="0091389C"/>
    <w:rsid w:val="00914C49"/>
    <w:rsid w:val="009159CB"/>
    <w:rsid w:val="00917269"/>
    <w:rsid w:val="00941337"/>
    <w:rsid w:val="0094716D"/>
    <w:rsid w:val="00947B4B"/>
    <w:rsid w:val="00950DC5"/>
    <w:rsid w:val="00994B19"/>
    <w:rsid w:val="009A142F"/>
    <w:rsid w:val="009B56DB"/>
    <w:rsid w:val="009C7E3F"/>
    <w:rsid w:val="009D042B"/>
    <w:rsid w:val="009D61AF"/>
    <w:rsid w:val="009D675D"/>
    <w:rsid w:val="009E29A9"/>
    <w:rsid w:val="00A02A12"/>
    <w:rsid w:val="00A15407"/>
    <w:rsid w:val="00A1694A"/>
    <w:rsid w:val="00A3189A"/>
    <w:rsid w:val="00A35AEE"/>
    <w:rsid w:val="00A602A6"/>
    <w:rsid w:val="00A60534"/>
    <w:rsid w:val="00A75CE8"/>
    <w:rsid w:val="00A83FAA"/>
    <w:rsid w:val="00A97E68"/>
    <w:rsid w:val="00AA4203"/>
    <w:rsid w:val="00AA52F0"/>
    <w:rsid w:val="00AA5785"/>
    <w:rsid w:val="00AB7350"/>
    <w:rsid w:val="00AC0B21"/>
    <w:rsid w:val="00AC4D7A"/>
    <w:rsid w:val="00AC5712"/>
    <w:rsid w:val="00AC6FE5"/>
    <w:rsid w:val="00AD0225"/>
    <w:rsid w:val="00AD1731"/>
    <w:rsid w:val="00AD1E5E"/>
    <w:rsid w:val="00AE2EE4"/>
    <w:rsid w:val="00AF52EE"/>
    <w:rsid w:val="00AF6C2A"/>
    <w:rsid w:val="00B07D24"/>
    <w:rsid w:val="00B1078C"/>
    <w:rsid w:val="00B1244F"/>
    <w:rsid w:val="00B206D7"/>
    <w:rsid w:val="00B3445E"/>
    <w:rsid w:val="00B3465A"/>
    <w:rsid w:val="00B3554E"/>
    <w:rsid w:val="00B36AF5"/>
    <w:rsid w:val="00B637DD"/>
    <w:rsid w:val="00B9467B"/>
    <w:rsid w:val="00BA630C"/>
    <w:rsid w:val="00BB7D03"/>
    <w:rsid w:val="00BC671C"/>
    <w:rsid w:val="00BD7FDC"/>
    <w:rsid w:val="00BF0A78"/>
    <w:rsid w:val="00BF2FF2"/>
    <w:rsid w:val="00BF37A3"/>
    <w:rsid w:val="00C03D38"/>
    <w:rsid w:val="00C14204"/>
    <w:rsid w:val="00C14F1B"/>
    <w:rsid w:val="00C2254C"/>
    <w:rsid w:val="00C253D5"/>
    <w:rsid w:val="00C3145F"/>
    <w:rsid w:val="00C372C3"/>
    <w:rsid w:val="00C43C6B"/>
    <w:rsid w:val="00C445BC"/>
    <w:rsid w:val="00C505C7"/>
    <w:rsid w:val="00C6150E"/>
    <w:rsid w:val="00C666BB"/>
    <w:rsid w:val="00C76954"/>
    <w:rsid w:val="00C8290C"/>
    <w:rsid w:val="00CA00B2"/>
    <w:rsid w:val="00CA0BDE"/>
    <w:rsid w:val="00CA2C7D"/>
    <w:rsid w:val="00CA657E"/>
    <w:rsid w:val="00CC395C"/>
    <w:rsid w:val="00CC5D6E"/>
    <w:rsid w:val="00CD16CA"/>
    <w:rsid w:val="00CE077F"/>
    <w:rsid w:val="00CE1F32"/>
    <w:rsid w:val="00D02ADE"/>
    <w:rsid w:val="00D07026"/>
    <w:rsid w:val="00D33977"/>
    <w:rsid w:val="00D46B41"/>
    <w:rsid w:val="00D47F3D"/>
    <w:rsid w:val="00D527C6"/>
    <w:rsid w:val="00D52E95"/>
    <w:rsid w:val="00D71158"/>
    <w:rsid w:val="00D76BB4"/>
    <w:rsid w:val="00D76CCD"/>
    <w:rsid w:val="00D82905"/>
    <w:rsid w:val="00D87113"/>
    <w:rsid w:val="00D87FCC"/>
    <w:rsid w:val="00D929CD"/>
    <w:rsid w:val="00DA55F6"/>
    <w:rsid w:val="00DA6F93"/>
    <w:rsid w:val="00DB709B"/>
    <w:rsid w:val="00DE6E39"/>
    <w:rsid w:val="00DF772C"/>
    <w:rsid w:val="00E00B36"/>
    <w:rsid w:val="00E01876"/>
    <w:rsid w:val="00E073CE"/>
    <w:rsid w:val="00E0A329"/>
    <w:rsid w:val="00E163DE"/>
    <w:rsid w:val="00E206B5"/>
    <w:rsid w:val="00E22C10"/>
    <w:rsid w:val="00E27437"/>
    <w:rsid w:val="00E30D58"/>
    <w:rsid w:val="00E34F3F"/>
    <w:rsid w:val="00E35767"/>
    <w:rsid w:val="00E439C3"/>
    <w:rsid w:val="00E4409C"/>
    <w:rsid w:val="00E52149"/>
    <w:rsid w:val="00E64B00"/>
    <w:rsid w:val="00EB2A49"/>
    <w:rsid w:val="00EC21F1"/>
    <w:rsid w:val="00EC2F5A"/>
    <w:rsid w:val="00ED315E"/>
    <w:rsid w:val="00ED59DB"/>
    <w:rsid w:val="00ED7CD9"/>
    <w:rsid w:val="00EE6C1F"/>
    <w:rsid w:val="00EF0517"/>
    <w:rsid w:val="00EF6A03"/>
    <w:rsid w:val="00F0148D"/>
    <w:rsid w:val="00F022D4"/>
    <w:rsid w:val="00F04915"/>
    <w:rsid w:val="00F100ED"/>
    <w:rsid w:val="00F12AE8"/>
    <w:rsid w:val="00F5422D"/>
    <w:rsid w:val="00F9281C"/>
    <w:rsid w:val="00F96447"/>
    <w:rsid w:val="00F97AA1"/>
    <w:rsid w:val="00FA17BA"/>
    <w:rsid w:val="00FA1D63"/>
    <w:rsid w:val="00FA63A4"/>
    <w:rsid w:val="00FA6883"/>
    <w:rsid w:val="00FC4299"/>
    <w:rsid w:val="00FD4D56"/>
    <w:rsid w:val="00FF0966"/>
    <w:rsid w:val="0138A223"/>
    <w:rsid w:val="014FE573"/>
    <w:rsid w:val="017C28D3"/>
    <w:rsid w:val="027A625E"/>
    <w:rsid w:val="027E1D6B"/>
    <w:rsid w:val="038085C3"/>
    <w:rsid w:val="03B5391E"/>
    <w:rsid w:val="043CF445"/>
    <w:rsid w:val="059112D8"/>
    <w:rsid w:val="05DA03EC"/>
    <w:rsid w:val="06054B78"/>
    <w:rsid w:val="06231F25"/>
    <w:rsid w:val="0642A163"/>
    <w:rsid w:val="080550F9"/>
    <w:rsid w:val="089E4967"/>
    <w:rsid w:val="08FF0233"/>
    <w:rsid w:val="09A24779"/>
    <w:rsid w:val="0A7393C3"/>
    <w:rsid w:val="0A9871E9"/>
    <w:rsid w:val="0ACB9ACA"/>
    <w:rsid w:val="0ADA82C5"/>
    <w:rsid w:val="0AF61F15"/>
    <w:rsid w:val="0BCAA006"/>
    <w:rsid w:val="0BE4DF45"/>
    <w:rsid w:val="0C1679E3"/>
    <w:rsid w:val="0D3ED353"/>
    <w:rsid w:val="0E87407C"/>
    <w:rsid w:val="0E92EE8D"/>
    <w:rsid w:val="0EC5AFF0"/>
    <w:rsid w:val="0EE3AD4A"/>
    <w:rsid w:val="120A8628"/>
    <w:rsid w:val="128E4337"/>
    <w:rsid w:val="12C33B89"/>
    <w:rsid w:val="142E4FC2"/>
    <w:rsid w:val="143AF379"/>
    <w:rsid w:val="1538AA61"/>
    <w:rsid w:val="15471819"/>
    <w:rsid w:val="1579352F"/>
    <w:rsid w:val="15B52949"/>
    <w:rsid w:val="163D71C1"/>
    <w:rsid w:val="1654D937"/>
    <w:rsid w:val="16F6AF83"/>
    <w:rsid w:val="1739213F"/>
    <w:rsid w:val="1743D051"/>
    <w:rsid w:val="1762B39F"/>
    <w:rsid w:val="17F02357"/>
    <w:rsid w:val="184C6583"/>
    <w:rsid w:val="18F57867"/>
    <w:rsid w:val="19CBCC67"/>
    <w:rsid w:val="1A65C1B6"/>
    <w:rsid w:val="1B7EAEC9"/>
    <w:rsid w:val="1BCD2EB2"/>
    <w:rsid w:val="1C2F6DB2"/>
    <w:rsid w:val="1C713D73"/>
    <w:rsid w:val="1DD7FA03"/>
    <w:rsid w:val="1E865758"/>
    <w:rsid w:val="1EAADD6E"/>
    <w:rsid w:val="1F4DCC59"/>
    <w:rsid w:val="1FA12380"/>
    <w:rsid w:val="1FC79FD6"/>
    <w:rsid w:val="1FE6B1E7"/>
    <w:rsid w:val="2014DC29"/>
    <w:rsid w:val="2039FCDD"/>
    <w:rsid w:val="20F99EBA"/>
    <w:rsid w:val="21377C19"/>
    <w:rsid w:val="225E48F3"/>
    <w:rsid w:val="234A540C"/>
    <w:rsid w:val="23979FC6"/>
    <w:rsid w:val="23C1BF71"/>
    <w:rsid w:val="23F8ED3F"/>
    <w:rsid w:val="245C0757"/>
    <w:rsid w:val="253239BA"/>
    <w:rsid w:val="2598CEF3"/>
    <w:rsid w:val="25D03372"/>
    <w:rsid w:val="25DAF21E"/>
    <w:rsid w:val="263179EC"/>
    <w:rsid w:val="26411448"/>
    <w:rsid w:val="265A3311"/>
    <w:rsid w:val="274CC20B"/>
    <w:rsid w:val="2769862E"/>
    <w:rsid w:val="285ACE98"/>
    <w:rsid w:val="294465F3"/>
    <w:rsid w:val="2A0BF95C"/>
    <w:rsid w:val="2A242DDC"/>
    <w:rsid w:val="2A6A1C98"/>
    <w:rsid w:val="2AC11237"/>
    <w:rsid w:val="2BA4ECFB"/>
    <w:rsid w:val="2C501066"/>
    <w:rsid w:val="2C96C4CA"/>
    <w:rsid w:val="2CB31A6A"/>
    <w:rsid w:val="2D40B7B3"/>
    <w:rsid w:val="2D4EF395"/>
    <w:rsid w:val="2DEA87F0"/>
    <w:rsid w:val="2E0AA0B9"/>
    <w:rsid w:val="2E46B19C"/>
    <w:rsid w:val="2EE0E8D7"/>
    <w:rsid w:val="3181A8C4"/>
    <w:rsid w:val="334D3D2E"/>
    <w:rsid w:val="334E243A"/>
    <w:rsid w:val="33B7E6BD"/>
    <w:rsid w:val="35695809"/>
    <w:rsid w:val="3569FBA4"/>
    <w:rsid w:val="357244AF"/>
    <w:rsid w:val="3623F918"/>
    <w:rsid w:val="3835EE77"/>
    <w:rsid w:val="39937CD8"/>
    <w:rsid w:val="3B68AC38"/>
    <w:rsid w:val="3B81F025"/>
    <w:rsid w:val="3B9E7B8A"/>
    <w:rsid w:val="3BB3B609"/>
    <w:rsid w:val="3C29EF3A"/>
    <w:rsid w:val="3C302B5D"/>
    <w:rsid w:val="3E69E957"/>
    <w:rsid w:val="3EDA7603"/>
    <w:rsid w:val="3F0F7E11"/>
    <w:rsid w:val="3FA1CA91"/>
    <w:rsid w:val="3FC3537A"/>
    <w:rsid w:val="3FEB6BDE"/>
    <w:rsid w:val="3FED8776"/>
    <w:rsid w:val="40AE2C1F"/>
    <w:rsid w:val="412B3DCA"/>
    <w:rsid w:val="4144815E"/>
    <w:rsid w:val="415D4BAB"/>
    <w:rsid w:val="41B1B60F"/>
    <w:rsid w:val="41BD076B"/>
    <w:rsid w:val="4296A636"/>
    <w:rsid w:val="42F33987"/>
    <w:rsid w:val="439DFB0D"/>
    <w:rsid w:val="43CCB35E"/>
    <w:rsid w:val="4574B138"/>
    <w:rsid w:val="46325734"/>
    <w:rsid w:val="46FED47F"/>
    <w:rsid w:val="474B0346"/>
    <w:rsid w:val="47E0AEC3"/>
    <w:rsid w:val="47E6943B"/>
    <w:rsid w:val="4876AD9B"/>
    <w:rsid w:val="48968F2F"/>
    <w:rsid w:val="49322D90"/>
    <w:rsid w:val="49792EF1"/>
    <w:rsid w:val="49838FF3"/>
    <w:rsid w:val="49EB5457"/>
    <w:rsid w:val="4A042E8B"/>
    <w:rsid w:val="4BC20771"/>
    <w:rsid w:val="4C0C03A3"/>
    <w:rsid w:val="4D331973"/>
    <w:rsid w:val="4D416386"/>
    <w:rsid w:val="4DBD9306"/>
    <w:rsid w:val="4F10BD2E"/>
    <w:rsid w:val="50AC9910"/>
    <w:rsid w:val="50E56913"/>
    <w:rsid w:val="51F48525"/>
    <w:rsid w:val="52293C4D"/>
    <w:rsid w:val="52325CC1"/>
    <w:rsid w:val="52D946D7"/>
    <w:rsid w:val="52E58D33"/>
    <w:rsid w:val="5350FA11"/>
    <w:rsid w:val="535B2951"/>
    <w:rsid w:val="54CEFA3A"/>
    <w:rsid w:val="563C1416"/>
    <w:rsid w:val="569512FB"/>
    <w:rsid w:val="56E670D5"/>
    <w:rsid w:val="56F48F74"/>
    <w:rsid w:val="56FB51A3"/>
    <w:rsid w:val="571ACCA3"/>
    <w:rsid w:val="57A45B30"/>
    <w:rsid w:val="57C67F8C"/>
    <w:rsid w:val="57CA9E59"/>
    <w:rsid w:val="57DB0BA5"/>
    <w:rsid w:val="57E82AE6"/>
    <w:rsid w:val="57FA895D"/>
    <w:rsid w:val="580F007E"/>
    <w:rsid w:val="582AEF0F"/>
    <w:rsid w:val="5976DC06"/>
    <w:rsid w:val="59A0094D"/>
    <w:rsid w:val="59EF8B74"/>
    <w:rsid w:val="5AC758EB"/>
    <w:rsid w:val="5ADBFBF2"/>
    <w:rsid w:val="5B9654BF"/>
    <w:rsid w:val="5C114E49"/>
    <w:rsid w:val="5C8ACD23"/>
    <w:rsid w:val="5CBA07CF"/>
    <w:rsid w:val="5CFA98D8"/>
    <w:rsid w:val="5D4D2192"/>
    <w:rsid w:val="5E3C68B8"/>
    <w:rsid w:val="60637258"/>
    <w:rsid w:val="6212C89C"/>
    <w:rsid w:val="62313FD9"/>
    <w:rsid w:val="6250CF1F"/>
    <w:rsid w:val="62596153"/>
    <w:rsid w:val="62EA67D6"/>
    <w:rsid w:val="630EDDBC"/>
    <w:rsid w:val="6349EEE7"/>
    <w:rsid w:val="64D4ECB1"/>
    <w:rsid w:val="652C7684"/>
    <w:rsid w:val="666B7F33"/>
    <w:rsid w:val="66A3A449"/>
    <w:rsid w:val="6745FAD3"/>
    <w:rsid w:val="67BFBC12"/>
    <w:rsid w:val="67CA5572"/>
    <w:rsid w:val="6815A555"/>
    <w:rsid w:val="68892D5D"/>
    <w:rsid w:val="69522F11"/>
    <w:rsid w:val="6A2110DB"/>
    <w:rsid w:val="6A916622"/>
    <w:rsid w:val="6B015EBC"/>
    <w:rsid w:val="6B0B51EE"/>
    <w:rsid w:val="6B324DB5"/>
    <w:rsid w:val="6BD1A44F"/>
    <w:rsid w:val="6C004399"/>
    <w:rsid w:val="6C2F311A"/>
    <w:rsid w:val="6C4EF2E2"/>
    <w:rsid w:val="6C95A739"/>
    <w:rsid w:val="6CE0FAB5"/>
    <w:rsid w:val="6D9C13FA"/>
    <w:rsid w:val="6EEBA68F"/>
    <w:rsid w:val="6F08AD99"/>
    <w:rsid w:val="6FE98237"/>
    <w:rsid w:val="6FFF935F"/>
    <w:rsid w:val="7113AEA4"/>
    <w:rsid w:val="71CEAD2D"/>
    <w:rsid w:val="7211955C"/>
    <w:rsid w:val="726A5B19"/>
    <w:rsid w:val="729C4631"/>
    <w:rsid w:val="742AD336"/>
    <w:rsid w:val="75DE9D04"/>
    <w:rsid w:val="77A27951"/>
    <w:rsid w:val="77D9ED77"/>
    <w:rsid w:val="782A83E8"/>
    <w:rsid w:val="782F45CF"/>
    <w:rsid w:val="7831CC01"/>
    <w:rsid w:val="78B4FE44"/>
    <w:rsid w:val="78EE99C6"/>
    <w:rsid w:val="79B828AA"/>
    <w:rsid w:val="7A991C34"/>
    <w:rsid w:val="7B3B648D"/>
    <w:rsid w:val="7BA764B1"/>
    <w:rsid w:val="7C38813C"/>
    <w:rsid w:val="7D0B388B"/>
    <w:rsid w:val="7D3BC001"/>
    <w:rsid w:val="7D9F84AB"/>
    <w:rsid w:val="7F747ADD"/>
    <w:rsid w:val="7F878C9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7EA00"/>
  <w15:chartTrackingRefBased/>
  <w15:docId w15:val="{AFED55EE-EB37-45F2-8EF9-BA18BA40D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767434"/>
    <w:pPr>
      <w:spacing w:after="0" w:line="240" w:lineRule="auto"/>
    </w:pPr>
  </w:style>
  <w:style w:type="character" w:styleId="CommentReference">
    <w:name w:val="annotation reference"/>
    <w:basedOn w:val="DefaultParagraphFont"/>
    <w:uiPriority w:val="99"/>
    <w:semiHidden/>
    <w:unhideWhenUsed/>
    <w:rsid w:val="00B36AF5"/>
    <w:rPr>
      <w:sz w:val="16"/>
      <w:szCs w:val="16"/>
    </w:rPr>
  </w:style>
  <w:style w:type="paragraph" w:styleId="CommentText">
    <w:name w:val="annotation text"/>
    <w:basedOn w:val="Normal"/>
    <w:link w:val="CommentTextChar"/>
    <w:uiPriority w:val="99"/>
    <w:unhideWhenUsed/>
    <w:rsid w:val="00B36AF5"/>
    <w:pPr>
      <w:spacing w:line="240" w:lineRule="auto"/>
    </w:pPr>
    <w:rPr>
      <w:sz w:val="20"/>
      <w:szCs w:val="20"/>
    </w:rPr>
  </w:style>
  <w:style w:type="character" w:customStyle="1" w:styleId="CommentTextChar">
    <w:name w:val="Comment Text Char"/>
    <w:basedOn w:val="DefaultParagraphFont"/>
    <w:link w:val="CommentText"/>
    <w:uiPriority w:val="99"/>
    <w:rsid w:val="00B36AF5"/>
    <w:rPr>
      <w:sz w:val="20"/>
      <w:szCs w:val="20"/>
    </w:rPr>
  </w:style>
  <w:style w:type="paragraph" w:styleId="CommentSubject">
    <w:name w:val="annotation subject"/>
    <w:basedOn w:val="CommentText"/>
    <w:next w:val="CommentText"/>
    <w:link w:val="CommentSubjectChar"/>
    <w:uiPriority w:val="99"/>
    <w:semiHidden/>
    <w:unhideWhenUsed/>
    <w:rsid w:val="00B36AF5"/>
    <w:rPr>
      <w:b/>
      <w:bCs/>
    </w:rPr>
  </w:style>
  <w:style w:type="character" w:customStyle="1" w:styleId="CommentSubjectChar">
    <w:name w:val="Comment Subject Char"/>
    <w:basedOn w:val="CommentTextChar"/>
    <w:link w:val="CommentSubject"/>
    <w:uiPriority w:val="99"/>
    <w:semiHidden/>
    <w:rsid w:val="00B36AF5"/>
    <w:rPr>
      <w:b/>
      <w:bCs/>
      <w:sz w:val="20"/>
      <w:szCs w:val="20"/>
    </w:rPr>
  </w:style>
  <w:style w:type="paragraph" w:styleId="ListParagraph">
    <w:name w:val="List Paragraph"/>
    <w:basedOn w:val="Normal"/>
    <w:uiPriority w:val="34"/>
    <w:qFormat/>
    <w:rsid w:val="002276E2"/>
    <w:pPr>
      <w:ind w:left="720"/>
      <w:contextualSpacing/>
    </w:pPr>
  </w:style>
  <w:style w:type="character" w:styleId="Hyperlink">
    <w:name w:val="Hyperlink"/>
    <w:basedOn w:val="DefaultParagraphFont"/>
    <w:uiPriority w:val="99"/>
    <w:unhideWhenUsed/>
    <w:rsid w:val="0094716D"/>
    <w:rPr>
      <w:color w:val="0563C1" w:themeColor="hyperlink"/>
      <w:u w:val="single"/>
    </w:rPr>
  </w:style>
  <w:style w:type="character" w:styleId="UnresolvedMention">
    <w:name w:val="Unresolved Mention"/>
    <w:basedOn w:val="DefaultParagraphFont"/>
    <w:uiPriority w:val="99"/>
    <w:semiHidden/>
    <w:unhideWhenUsed/>
    <w:rsid w:val="0094716D"/>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paragraph" w:styleId="BalloonText">
    <w:name w:val="Balloon Text"/>
    <w:basedOn w:val="Normal"/>
    <w:link w:val="BalloonTextChar"/>
    <w:uiPriority w:val="99"/>
    <w:semiHidden/>
    <w:unhideWhenUsed/>
    <w:rsid w:val="00AA42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4203"/>
    <w:rPr>
      <w:rFonts w:ascii="Segoe UI" w:hAnsi="Segoe UI" w:cs="Segoe UI"/>
      <w:sz w:val="18"/>
      <w:szCs w:val="18"/>
    </w:rPr>
  </w:style>
  <w:style w:type="paragraph" w:styleId="Header">
    <w:name w:val="header"/>
    <w:basedOn w:val="Normal"/>
    <w:link w:val="HeaderChar"/>
    <w:uiPriority w:val="99"/>
    <w:unhideWhenUsed/>
    <w:rsid w:val="009D67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675D"/>
  </w:style>
  <w:style w:type="paragraph" w:styleId="Footer">
    <w:name w:val="footer"/>
    <w:basedOn w:val="Normal"/>
    <w:link w:val="FooterChar"/>
    <w:uiPriority w:val="99"/>
    <w:unhideWhenUsed/>
    <w:rsid w:val="009D67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67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utecd@acgov.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c.gov/coronavirus/2019-ncov/need-extra-precautions/people-who-are-immunocompromised.html" TargetMode="External"/><Relationship Id="rId5" Type="http://schemas.openxmlformats.org/officeDocument/2006/relationships/webSettings" Target="webSettings.xml"/><Relationship Id="rId10" Type="http://schemas.openxmlformats.org/officeDocument/2006/relationships/hyperlink" Target="https://www.cdc.gov/coronavirus/2019-ncov/hcp/testing-overview.html" TargetMode="External"/><Relationship Id="rId4" Type="http://schemas.openxmlformats.org/officeDocument/2006/relationships/settings" Target="settings.xml"/><Relationship Id="rId9" Type="http://schemas.openxmlformats.org/officeDocument/2006/relationships/hyperlink" Target="https://www.cdc.gov/respiratory-viruses/prevention/precautions-when-sick.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5E346E-A4E7-41F0-BFE6-78547C69E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1917</Words>
  <Characters>10931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12823</CharactersWithSpaces>
  <SharedDoc>false</SharedDoc>
  <HLinks>
    <vt:vector size="24" baseType="variant">
      <vt:variant>
        <vt:i4>2293802</vt:i4>
      </vt:variant>
      <vt:variant>
        <vt:i4>9</vt:i4>
      </vt:variant>
      <vt:variant>
        <vt:i4>0</vt:i4>
      </vt:variant>
      <vt:variant>
        <vt:i4>5</vt:i4>
      </vt:variant>
      <vt:variant>
        <vt:lpwstr>https://www.cdc.gov/coronavirus/2019-ncov/need-extra-precautions/people-who-are-immunocompromised.html</vt:lpwstr>
      </vt:variant>
      <vt:variant>
        <vt:lpwstr/>
      </vt:variant>
      <vt:variant>
        <vt:i4>3538992</vt:i4>
      </vt:variant>
      <vt:variant>
        <vt:i4>6</vt:i4>
      </vt:variant>
      <vt:variant>
        <vt:i4>0</vt:i4>
      </vt:variant>
      <vt:variant>
        <vt:i4>5</vt:i4>
      </vt:variant>
      <vt:variant>
        <vt:lpwstr>https://www.cdc.gov/coronavirus/2019-ncov/hcp/testing-overview.html</vt:lpwstr>
      </vt:variant>
      <vt:variant>
        <vt:lpwstr/>
      </vt:variant>
      <vt:variant>
        <vt:i4>1114124</vt:i4>
      </vt:variant>
      <vt:variant>
        <vt:i4>3</vt:i4>
      </vt:variant>
      <vt:variant>
        <vt:i4>0</vt:i4>
      </vt:variant>
      <vt:variant>
        <vt:i4>5</vt:i4>
      </vt:variant>
      <vt:variant>
        <vt:lpwstr>https://www.cdc.gov/respiratory-viruses/prevention/precautions-when-sick.html</vt:lpwstr>
      </vt:variant>
      <vt:variant>
        <vt:lpwstr/>
      </vt:variant>
      <vt:variant>
        <vt:i4>983086</vt:i4>
      </vt:variant>
      <vt:variant>
        <vt:i4>0</vt:i4>
      </vt:variant>
      <vt:variant>
        <vt:i4>0</vt:i4>
      </vt:variant>
      <vt:variant>
        <vt:i4>5</vt:i4>
      </vt:variant>
      <vt:variant>
        <vt:lpwstr>mailto:acutecd@acgov.org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Durbin</dc:creator>
  <cp:keywords/>
  <dc:description/>
  <cp:lastModifiedBy>Wentz, Christopher B., Sheriff</cp:lastModifiedBy>
  <cp:revision>2</cp:revision>
  <dcterms:created xsi:type="dcterms:W3CDTF">2024-08-19T21:52:00Z</dcterms:created>
  <dcterms:modified xsi:type="dcterms:W3CDTF">2024-08-19T21:52:00Z</dcterms:modified>
</cp:coreProperties>
</file>